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兴银理财灵动全天候37号净值型理财产品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35,114,499.06份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25,709,280.62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9,405,218.44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产品9K212187自成立日以来，累计净值增长率为-1.0390%，年化累计净值增长率为-2.2049%。</w:t>
              <w:br/>
              <w:t xml:space="preserve">产品9K212287自成立日以来，累计净值增长率为-0.9940%，年化累计净值增长率为-2.1094%。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34,753,805.32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25,442,052.08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9,311,753.24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过程中，坚持以风险平价为主的绝对收益策略，持续比较股债性价比并以此为依据动态调整权益仓位比例。产品运作以来，遭遇了8~9月权益市场的超预期下跌，之后又经历了11~12月债券市场的剧烈调整，由于股债跷跷板效应，产品整体收益较为稳健。</w:t>
              <w:br/>
              <w:t xml:space="preserve">    展望23年，内外需共振下行的背景下，稳增长的预期愈发强烈，稳增长政策力度也明显加大，流动性支持及财政政策有望推动投资端发力，因此基建链今年可能存在超预期投资机会，尤其是供给端出清具备较大价格弹性的上游品种；而大金融在宏观经济风险逐步降低过程中，估值也有望逐步修复，如银行、保险等。消费板块整体面临的问题是弱基本面和强复苏预期，复苏的节奏可能比预期的要慢，而消费的整体估值已经修复到了较高水平，整体的性价比并不突出，而港股的部分消费股前期跌幅较大，估值的性价比更高。成长板块部分也受到消费转弱的影响，而光伏、储能、军工等需求的确定性仍非常高，且有成本逐步下行的逻辑，今年业绩确定性相对较高，我们仍看好其中的成长机会及新技术的投资机会。短期来看，权益市场仍处于预期修复的过程，还没到基本面的验证期，因此短期内有望延续震荡反弹的趋势，产品的权益仓位将继续保持中性，风格均衡略偏成长。而债券市场经过剧烈调整，配置价值已现，产品将在严控信用风险的前提下，适度加杠杆，力争获取更好的收益。</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本产品聘请毕马威会计师事务所（特殊普通合伙）上海分所依据中国注册会计师审计准则对本产品的财务报表，包括2022年12月31日的资产负债表，自2022年07月13日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2,831,129.00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2,478,925.00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2,028,540.31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1,801,454.40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1,498,974.00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1,495,306.50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21崇川城投PPN004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1,487,451.00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1,486,566.00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