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 w:type="dxa"/>
        <w:tblLayout w:type="fixed"/>
        <w:tblCellMar>
          <w:top w:w="0" w:type="dxa"/>
          <w:left w:w="10" w:type="dxa"/>
          <w:bottom w:w="0" w:type="dxa"/>
          <w:right w:w="10" w:type="dxa"/>
        </w:tblCellMar>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6"/>
            </w:pPr>
            <w:bookmarkStart w:id="0" w:name="JR_PAGE_ANCHOR_0_1"/>
            <w:bookmarkEnd w:id="0"/>
          </w:p>
        </w:tc>
        <w:tc>
          <w:tcPr>
            <w:tcW w:w="302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02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960" w:hRule="exact"/>
        </w:trPr>
        <w:tc>
          <w:tcPr>
            <w:tcW w:w="1" w:type="dxa"/>
          </w:tcPr>
          <w:p>
            <w:pPr>
              <w:pStyle w:val="6"/>
            </w:pPr>
          </w:p>
        </w:tc>
        <w:tc>
          <w:tcPr>
            <w:tcW w:w="302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6"/>
            </w:pPr>
          </w:p>
        </w:tc>
        <w:tc>
          <w:tcPr>
            <w:tcW w:w="10700" w:type="dxa"/>
            <w:gridSpan w:val="19"/>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兴银理财兴动多策略封闭式3号增强型固收类理财产品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6600" w:hRule="exact"/>
        </w:trPr>
        <w:tc>
          <w:tcPr>
            <w:tcW w:w="1" w:type="dxa"/>
          </w:tcPr>
          <w:p>
            <w:pPr>
              <w:pStyle w:val="6"/>
            </w:pPr>
          </w:p>
        </w:tc>
        <w:tc>
          <w:tcPr>
            <w:tcW w:w="302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720" w:hRule="exact"/>
        </w:trPr>
        <w:tc>
          <w:tcPr>
            <w:tcW w:w="1" w:type="dxa"/>
          </w:tcPr>
          <w:p>
            <w:pPr>
              <w:pStyle w:val="6"/>
            </w:pPr>
          </w:p>
        </w:tc>
        <w:tc>
          <w:tcPr>
            <w:tcW w:w="302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020" w:type="dxa"/>
            <w:gridSpan w:val="6"/>
          </w:tcPr>
          <w:p>
            <w:pPr>
              <w:pStyle w:val="6"/>
            </w:pPr>
          </w:p>
        </w:tc>
        <w:tc>
          <w:tcPr>
            <w:tcW w:w="380" w:type="dxa"/>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2620" w:type="dxa"/>
            <w:gridSpan w:val="2"/>
          </w:tcPr>
          <w:p>
            <w:pPr>
              <w:pStyle w:val="6"/>
            </w:pPr>
          </w:p>
        </w:tc>
        <w:tc>
          <w:tcPr>
            <w:tcW w:w="68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1" w:name="JR_PAGE_ANCHOR_0_2"/>
            <w:bookmarkEnd w:id="1"/>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840" w:hRule="exact"/>
        </w:trPr>
        <w:tc>
          <w:tcPr>
            <w:tcW w:w="1" w:type="dxa"/>
          </w:tcPr>
          <w:p>
            <w:pPr>
              <w:pStyle w:val="6"/>
            </w:pPr>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2000" w:type="dxa"/>
            <w:gridSpan w:val="3"/>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40" w:hRule="exact"/>
        </w:trPr>
        <w:tc>
          <w:tcPr>
            <w:tcW w:w="1" w:type="dxa"/>
          </w:tcPr>
          <w:p>
            <w:pPr>
              <w:pStyle w:val="6"/>
            </w:pPr>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6"/>
            </w:pPr>
          </w:p>
        </w:tc>
        <w:tc>
          <w:tcPr>
            <w:tcW w:w="100" w:type="dxa"/>
            <w:gridSpan w:val="3"/>
          </w:tcPr>
          <w:p>
            <w:pPr>
              <w:pStyle w:val="6"/>
            </w:pPr>
          </w:p>
        </w:tc>
        <w:tc>
          <w:tcPr>
            <w:tcW w:w="10400" w:type="dxa"/>
            <w:gridSpan w:val="14"/>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80" w:hRule="exact"/>
        </w:trPr>
        <w:tc>
          <w:tcPr>
            <w:tcW w:w="1" w:type="dxa"/>
          </w:tcPr>
          <w:p>
            <w:pPr>
              <w:pStyle w:val="6"/>
            </w:pPr>
          </w:p>
        </w:tc>
        <w:tc>
          <w:tcPr>
            <w:tcW w:w="10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0" w:type="dxa"/>
            <w:gridSpan w:val="3"/>
          </w:tcPr>
          <w:p>
            <w:pPr>
              <w:pStyle w:val="6"/>
            </w:pPr>
          </w:p>
        </w:tc>
        <w:tc>
          <w:tcPr>
            <w:tcW w:w="3300" w:type="dxa"/>
            <w:gridSpan w:val="4"/>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100" w:type="dxa"/>
            <w:gridSpan w:val="4"/>
          </w:tcPr>
          <w:p>
            <w:pPr>
              <w:pStyle w:val="6"/>
            </w:pPr>
          </w:p>
        </w:tc>
        <w:tc>
          <w:tcPr>
            <w:tcW w:w="20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2" w:name="JR_PAGE_ANCHOR_0_3"/>
            <w:bookmarkEnd w:id="2"/>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6"/>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兴银理财兴动多策略封闭式3号增强型固收类理财产品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9K212230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Z7002022000062</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71,826,291.98份</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0.01%--6.05%/--</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6"/>
            </w:pPr>
          </w:p>
        </w:tc>
      </w:tr>
      <w:tr>
        <w:tblPrEx>
          <w:tblCellMar>
            <w:top w:w="0" w:type="dxa"/>
            <w:left w:w="10" w:type="dxa"/>
            <w:bottom w:w="0" w:type="dxa"/>
            <w:right w:w="10" w:type="dxa"/>
          </w:tblCellMar>
        </w:tblPrEx>
        <w:trPr>
          <w:gridAfter w:val="4"/>
          <w:wAfter w:w="40" w:type="dxa"/>
          <w:trHeight w:val="2920" w:hRule="exact"/>
        </w:trPr>
        <w:tc>
          <w:tcPr>
            <w:tcW w:w="1" w:type="dxa"/>
          </w:tcPr>
          <w:p>
            <w:pPr>
              <w:pStyle w:val="6"/>
            </w:pPr>
          </w:p>
        </w:tc>
        <w:tc>
          <w:tcPr>
            <w:tcW w:w="340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400" w:type="dxa"/>
            <w:gridSpan w:val="7"/>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3" w:name="JR_PAGE_ANCHOR_0_4"/>
            <w:bookmarkEnd w:id="3"/>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200" w:type="dxa"/>
            <w:gridSpan w:val="16"/>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产品9K212230自成立日以来，累计净值增长率为0.0560%，年化累计净值增长率为0.1022%。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1.00056</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1.00056</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71,866,521.34</w:t>
            </w: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2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900" w:hRule="atLeast"/>
        </w:trPr>
        <w:tc>
          <w:tcPr>
            <w:tcW w:w="1" w:type="dxa"/>
          </w:tcPr>
          <w:p>
            <w:pPr>
              <w:pStyle w:val="6"/>
            </w:pPr>
          </w:p>
        </w:tc>
        <w:tc>
          <w:tcPr>
            <w:tcW w:w="1070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72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2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240" w:hRule="atLeast"/>
        </w:trPr>
        <w:tc>
          <w:tcPr>
            <w:tcW w:w="1" w:type="dxa"/>
          </w:tcPr>
          <w:p>
            <w:pPr>
              <w:pStyle w:val="6"/>
            </w:pPr>
          </w:p>
        </w:tc>
        <w:tc>
          <w:tcPr>
            <w:tcW w:w="1070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产品的场外期权买入以来，挂钩标的中证500指数先是经历了一波超跌后的估值修复，此后由于各种对于生产生活恢复的扰动因素存在，中证500随即进入震荡下行通道。由于中证500指数价格处于敲出观察价下方，因此期权价值一直处于低收益状态。而本产品的生息资产部分坚持稳健生息策略，对于利率敞口暴露及其有限，因此在经历11~12月债券市场的剧烈调整，生息资产的表现依然相对稳健。</w:t>
            </w:r>
            <w:r>
              <w:rPr>
                <w:rFonts w:ascii="宋体" w:hAnsi="宋体" w:eastAsia="宋体" w:cs="宋体"/>
                <w:color w:val="000000"/>
                <w:sz w:val="21"/>
              </w:rPr>
              <w:br w:type="textWrapping"/>
            </w:r>
            <w:r>
              <w:rPr>
                <w:rFonts w:ascii="宋体" w:hAnsi="宋体" w:eastAsia="宋体" w:cs="宋体"/>
                <w:color w:val="000000"/>
                <w:sz w:val="21"/>
              </w:rPr>
              <w:t xml:space="preserve">    展望23年，中证500指数当前的估值处于近十年来的低位，股债性价比进一步凸显，相信权益市场将会延续年末震荡反弹的趋势，产品敲出概率较大。同时，生息资产部分将继续坚持稳健生息策略，继续严控利率和信用敞口，保持固收部分收益稳定。</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8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6"/>
            </w:pPr>
          </w:p>
        </w:tc>
        <w:tc>
          <w:tcPr>
            <w:tcW w:w="20" w:type="dxa"/>
          </w:tcPr>
          <w:p>
            <w:pPr>
              <w:pStyle w:val="6"/>
            </w:pPr>
          </w:p>
        </w:tc>
        <w:tc>
          <w:tcPr>
            <w:tcW w:w="10700" w:type="dxa"/>
            <w:gridSpan w:val="20"/>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2"/>
          <w:wAfter w:w="20" w:type="dxa"/>
          <w:trHeight w:val="440" w:hRule="exac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2580" w:type="dxa"/>
            <w:gridSpan w:val="4"/>
          </w:tcPr>
          <w:p>
            <w:pPr>
              <w:pStyle w:val="6"/>
            </w:pPr>
          </w:p>
        </w:tc>
        <w:tc>
          <w:tcPr>
            <w:tcW w:w="800" w:type="dxa"/>
            <w:gridSpan w:val="2"/>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4" w:name="JR_PAGE_ANCHOR_0_5"/>
            <w:bookmarkEnd w:id="4"/>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480" w:hRule="atLeast"/>
        </w:trPr>
        <w:tc>
          <w:tcPr>
            <w:tcW w:w="1" w:type="dxa"/>
          </w:tcPr>
          <w:p>
            <w:pPr>
              <w:pStyle w:val="6"/>
            </w:pPr>
          </w:p>
        </w:tc>
        <w:tc>
          <w:tcPr>
            <w:tcW w:w="10700" w:type="dxa"/>
            <w:gridSpan w:val="19"/>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本产品聘请毕马威会计师事务所（特殊普通合伙）上海分所依据中国注册会计师审计准则对本产品的财务报表，包括2022年12月31日的资产负债表，自2022年06月15日 (成立日) 至2022年12月31日止期间的利润表和理财产品净值变动表以及相关财务报表附注进行了审计，并出具审计报告。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6"/>
            </w:pPr>
          </w:p>
        </w:tc>
      </w:tr>
      <w:tr>
        <w:tblPrEx>
          <w:tblCellMar>
            <w:top w:w="0" w:type="dxa"/>
            <w:left w:w="10" w:type="dxa"/>
            <w:bottom w:w="0" w:type="dxa"/>
            <w:right w:w="10" w:type="dxa"/>
          </w:tblCellMar>
        </w:tblPrEx>
        <w:trPr>
          <w:gridAfter w:val="2"/>
          <w:wAfter w:w="20" w:type="dxa"/>
          <w:trHeight w:val="4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267" w:hRule="exact"/>
        </w:trPr>
        <w:tc>
          <w:tcPr>
            <w:tcW w:w="1" w:type="dxa"/>
          </w:tcPr>
          <w:p>
            <w:pPr>
              <w:pStyle w:val="6"/>
            </w:pPr>
          </w:p>
        </w:tc>
        <w:tc>
          <w:tcPr>
            <w:tcW w:w="20" w:type="dxa"/>
          </w:tcPr>
          <w:p>
            <w:pPr>
              <w:pStyle w:val="6"/>
            </w:pPr>
          </w:p>
        </w:tc>
        <w:tc>
          <w:tcPr>
            <w:tcW w:w="10700" w:type="dxa"/>
            <w:gridSpan w:val="20"/>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宋体"/>
                            <w:lang w:val="en-US" w:eastAsia="zh-CN"/>
                          </w:rPr>
                        </w:pPr>
                        <w:r>
                          <w:rPr>
                            <w:rFonts w:hint="eastAsia" w:ascii="宋体" w:hAnsi="宋体" w:eastAsia="宋体" w:cs="宋体"/>
                            <w:color w:val="000000"/>
                            <w:sz w:val="21"/>
                            <w:lang w:val="en-US" w:eastAsia="zh-CN"/>
                          </w:rPr>
                          <w:t>1.00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85.96</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bookmarkStart w:id="6" w:name="_GoBack"/>
                        <w:bookmarkEnd w:id="6"/>
                        <w:r>
                          <w:rPr>
                            <w:rFonts w:ascii="宋体" w:hAnsi="宋体" w:eastAsia="宋体" w:cs="宋体"/>
                            <w:color w:val="000000"/>
                            <w:sz w:val="21"/>
                          </w:rPr>
                          <w:t>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11.40</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97.75</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eastAsia="zh-CN"/>
                          </w:rPr>
                        </w:pPr>
                        <w:r>
                          <w:rPr>
                            <w:rFonts w:hint="eastAsia" w:ascii="宋体" w:hAnsi="宋体" w:eastAsia="宋体" w:cs="宋体"/>
                            <w:color w:val="000000"/>
                            <w:sz w:val="21"/>
                            <w:lang w:val="en-US" w:eastAsia="zh-CN"/>
                          </w:rPr>
                          <w:t>5</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default" w:eastAsia="宋体"/>
                            <w:lang w:val="en-US" w:eastAsia="zh-CN"/>
                          </w:rPr>
                        </w:pPr>
                        <w:r>
                          <w:rPr>
                            <w:rFonts w:hint="eastAsia" w:ascii="宋体" w:hAnsi="宋体" w:eastAsia="宋体" w:cs="宋体"/>
                            <w:color w:val="000000"/>
                            <w:sz w:val="21"/>
                            <w:lang w:val="en-US" w:eastAsia="zh-CN"/>
                          </w:rPr>
                          <w:t>1.25</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000" w:hRule="atLeast"/>
        </w:trPr>
        <w:tc>
          <w:tcPr>
            <w:tcW w:w="1" w:type="dxa"/>
          </w:tcPr>
          <w:p>
            <w:pPr>
              <w:pStyle w:val="6"/>
            </w:pPr>
          </w:p>
        </w:tc>
        <w:tc>
          <w:tcPr>
            <w:tcW w:w="1070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580" w:hRule="atLeast"/>
        </w:trPr>
        <w:tc>
          <w:tcPr>
            <w:tcW w:w="1" w:type="dxa"/>
          </w:tcPr>
          <w:p>
            <w:pPr>
              <w:pStyle w:val="6"/>
            </w:pPr>
          </w:p>
        </w:tc>
        <w:tc>
          <w:tcPr>
            <w:tcW w:w="1070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284" w:hRule="exac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6"/>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5" w:name="JR_PAGE_ANCHOR_0_6"/>
            <w:bookmarkEnd w:id="5"/>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兴银理财兴动多策略封闭式3号增强型固收类理财产品2022年年度报告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840" w:hRule="exact"/>
        </w:trPr>
        <w:tc>
          <w:tcPr>
            <w:tcW w:w="1" w:type="dxa"/>
          </w:tcPr>
          <w:p>
            <w:pPr>
              <w:pStyle w:val="6"/>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72,225,436.32</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100.50</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衍生品</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hint="eastAsia" w:ascii="宋体" w:hAnsi="宋体" w:eastAsia="宋体" w:cs="宋体"/>
                            <w:color w:val="000000"/>
                            <w:sz w:val="21"/>
                          </w:rPr>
                          <w:t>925,378.70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hint="eastAsia" w:ascii="宋体" w:hAnsi="宋体" w:eastAsia="宋体" w:cs="宋体"/>
                            <w:color w:val="000000"/>
                            <w:sz w:val="21"/>
                          </w:rPr>
                          <w:t>1.29</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3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9"/>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21"/>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051010100101364019</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兴银理财兴动多策略封闭式3号增强型固收类理财产品</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9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9"/>
            <w:tcMar>
              <w:top w:w="0" w:type="dxa"/>
              <w:left w:w="0" w:type="dxa"/>
              <w:bottom w:w="0" w:type="dxa"/>
              <w:right w:w="0" w:type="dxa"/>
            </w:tcMar>
          </w:tcPr>
          <w:p>
            <w:pPr>
              <w:jc w:val="right"/>
            </w:pPr>
            <w:r>
              <w:rPr>
                <w:rFonts w:ascii="宋体" w:hAnsi="宋体" w:eastAsia="宋体" w:cs="宋体"/>
                <w:color w:val="000000"/>
                <w:sz w:val="21"/>
              </w:rPr>
              <w:t>2023年5月15日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68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40" w:type="dxa"/>
            <w:gridSpan w:val="4"/>
          </w:tcPr>
          <w:p>
            <w:pPr>
              <w:pStyle w:val="6"/>
            </w:pPr>
          </w:p>
        </w:tc>
        <w:tc>
          <w:tcPr>
            <w:tcW w:w="1" w:type="dxa"/>
          </w:tcPr>
          <w:p>
            <w:pPr>
              <w:pStyle w:val="6"/>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E959BC"/>
    <w:rsid w:val="00701410"/>
    <w:rsid w:val="00A075BA"/>
    <w:rsid w:val="00E959BC"/>
    <w:rsid w:val="3F0E1807"/>
    <w:rsid w:val="462A6E81"/>
    <w:rsid w:val="62C705F1"/>
    <w:rsid w:val="6866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uiPriority w:val="99"/>
    <w:pPr>
      <w:tabs>
        <w:tab w:val="center" w:pos="4153"/>
        <w:tab w:val="right" w:pos="8306"/>
      </w:tabs>
      <w:snapToGrid w:val="0"/>
      <w:jc w:val="left"/>
    </w:pPr>
    <w:rPr>
      <w:sz w:val="18"/>
      <w:szCs w:val="18"/>
    </w:rPr>
  </w:style>
  <w:style w:type="paragraph" w:styleId="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5"/>
    <w:link w:val="3"/>
    <w:uiPriority w:val="99"/>
    <w:rPr>
      <w:sz w:val="18"/>
      <w:szCs w:val="18"/>
    </w:rPr>
  </w:style>
  <w:style w:type="character" w:customStyle="1" w:styleId="3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580</Words>
  <Characters>3306</Characters>
  <Lines>27</Lines>
  <Paragraphs>7</Paragraphs>
  <TotalTime>0</TotalTime>
  <ScaleCrop>false</ScaleCrop>
  <LinksUpToDate>false</LinksUpToDate>
  <CharactersWithSpaces>3879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2023-04-28T06:32:00Z</dcterms:created>
  <dc:creator>User</dc:creator>
  <cp:lastModifiedBy>cib</cp:lastModifiedBy>
  <dcterms:modified xsi:type="dcterms:W3CDTF">2023-04-28T08:15:47Z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