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兴银理财兴合汇景1号混合类净值型理财产品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786,389,763.55份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产品9K212803自成立日以来，累计净值增长率为-8.2720%，年化累计净值增长率为-4.9174%。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0.91728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0.91728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721,340,268.55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423,851,770.75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21德清建设MTN003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39,727,600.00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29,958,120.00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29,929,590.00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22一创02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29,768,520.00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21成华棚改MTN001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19,963,180.00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21吴城G1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19,756,900.00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