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兴银理财兴合常青1号混合类净值型理财产品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兴银理财兴合常青1号混合类净值型理财产品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202,237,990.34份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134,816,124.46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兴银兴合常青1号B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9K21282B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67,421,865.88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产品9K21282A自成立日以来，累计净值增长率为0.8120%，年化累计净值增长率为0.7007%。</w:t>
              <w:br/>
              <w:t xml:space="preserve">产品9K21282B自成立日以来，累计净值增长率为0.8950%，年化累计净值增长率为0.7723%。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203,935,956.09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135,910,590.24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68,025,365.85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10年，曾在中国金融期货交易所工作，为股指期货、股指期权的开发和上市的核心团队成员，在量化投资和衍生品投资方面具有丰富经验。</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四季度主要是10月底和11月份加仓港股，10月虽然港股受挫，但产品持仓的A股收益较多，对港股有所弥补。11月从宏观的角度看，中国政府在房地产和疫情两个角度都出现了极大的政策转变，特别是疫情的防控出现令人意想不到的转折，极为出人意料。相应由于市场把握住港股机会，即使在面临赎回的情况下，11月仍取得较为不错的收益。12月由于放开初期，市场出现波动，产品表现也先扬后抑。</w:t>
              <w:br/>
              <w:t xml:space="preserve">目前主要方向上布局在机械设备、医药和军工行业。四季度分具体行业来看，主要是医药生物、机械设备和食品饮料给产品组合贡献的正收益率较大。总体来说，今年的经济环境要比2022年好一点。股票市场的表现也会比2022年好一些。今年个股层面的机会肯定会很多，能够抓住一两个行业机会整体而言就已经不错了。</w:t>
              <w:br/>
              <w:t xml:space="preserve">    2023年，对于组合管理者来说，依然需要保持“朝乾夕惕”的状态。主要是担心三种情况：一是构建组合的惯性思维，“一年好，一年坏”现在是常态，我们要努力避免今年组合翻船。二是宏观的乐观预期与现实之间的落差产生的市场波动。三是出现黑天鹅事件，要及时识别并采取措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64,561,259.42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10,010,200.37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10,007,723.44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东方红稳添利纯债债券型发起式证券投资基金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10,007,357.00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10,006,079.21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永赢昌利债券型证券投资基金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10,005,673.96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鹏华丰康债券型证券投资基金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10,005,272.89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交银施罗德丰晟收益债券型证券投资基金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10,005,207.26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10,004,851.93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兴业信托·兴享稳健常春藤1号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兴银理财兴合常青1号混合类净值型理财产品2022年年度报告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051010100101282411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兴银理财兴合常青1号混合类净值型理财产品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