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兴银理财睿盈年年升10号净值型理财产品2022年年度报告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兴银理财睿盈年年升10号净值型理财产品</w:t>
              <w:br/>
              <w:t xml:space="preserve">2022年年度报告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报告送出日期：2023年5月15日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兴银理财睿盈年年升10号净值型理财产品2022年年度报告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审计报告</w:t>
              <w:br/>
              <w:t xml:space="preserve">§ 八.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兴银理财睿盈年年升10号净值型理财产品2022年年度报告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兴银理财睿盈年年升10号净值型理财产品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9K221010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Z7002021000133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376,713,165.78份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3.00%--6.00%/--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兴银睿盈年年升10号A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9K221110</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315,990,585.98</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兴银睿盈年年升10号B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9K221210</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60,722,579.80</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兴银理财睿盈年年升10号净值型理财产品2022年年度报告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产品9K221110自成立日以来，累计净值增长率为-2.2890%，年化累计净值增长率为-1.6479%。</w:t>
              <w:br/>
              <w:t xml:space="preserve">产品9K221210自成立日以来，累计净值增长率为-2.2450%，年化累计净值增长率为-1.6162%。</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0.97718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0.97718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368,115,454.73</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9K221110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0.97711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0.97711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308,756,392.81</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9K221210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0.97755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0.97755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59,359,061.92</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9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张浩立先生,同济大学工学学士、同济大学工学硕士、纽约大学金融硕士，2020年加入兴银理财，FOF投研经验7年。曾任平安资产管理有限公司FOF投资经理。2020年10月开始管理平衡型产品。</w:t>
              <w:br/>
              <w:t xml:space="preserve">    徐莹莹女士，西安交通大学数量经济学硕士，西北工业大学理学学士，拥有固定收益领域15年研究和投资经验。曾任职于华泰证券、海通证券研究所，所在团队多次上榜和入围新财富最佳分析师。于2014年加入兴业银行，任投资经理，擅长定量定性的宏观研判和信用债价值挖掘，一二级市场投资、交易和产品管理经验丰富，所管理的净值型“稳利”系列产品，业绩优秀，风格稳健。</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固收方面：</w:t>
              <w:br/>
              <w:t xml:space="preserve">一、2022年投资策略与运作回顾</w:t>
              <w:br/>
              <w:t xml:space="preserve">    2022年全年债券市场收益率整体上行。其中，1-8月债市利率震荡下行，10年国债利率从2021年末的2.78%，下行至了2022年8月下旬的2.58%，累计下行了20bp，其中利率上半年震荡为主，利率中枢在2.78%附近；信用则自3月以来持续下行，实现了信用利差的大幅压缩。11月以来，在地产政策不断出台叠加疫情政策放开的影响下，利率快速回升，11月单月10年国债上行22bp，3年AA+城投上行64bp，利差迅速走阔；12月以来，市场进入第二轮负反馈，本轮负反馈的主要冲击来自12月打开的定开型产品的赎回，在利率和存单已经跌幅收窄的情况下，信用和二永仍保持较深的下跌幅度。全年来看，10年国债上行6bp，同业存单下行18bp，3年AAA中票上行26bp，3年AA+中票上行44bp。</w:t>
              <w:br/>
              <w:t xml:space="preserve">    产品运作方面，前三季度主要在震荡市场行情下，对产品组合久期、券种择机进行积极调仓操作。其中三季度，整体加大了对久期策略的运用，7-8月中旬稳步提升产品平均久期，并在9月后逐步换仓止盈。在券种具体操作方面，主要跟踪利差的变动，进行积极调仓，从信用利差、期限利差等多角度为组合增厚投资收益。四季度，考虑</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2000"/>
        <w:gridCol w:w="2000"/>
        <w:gridCol w:w="330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兴银理财睿盈年年升10号净值型理财产品2022年年度报告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4"/>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atLeast" w:val="9940"/>
        </w:trPr>
        <w:tc>
          <w:tcPr>
     </w:tcPr>
          <w:p>
            <w:pPr>
              <w:pStyle w:val="EMPTY_CELL_STYLE"/>
            </w:pPr>
          </w:p>
        </w:tc>
        <w:tc>
          <w:tcPr>
            <w:gridSpan w:val="4"/>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到边际抬升的资金利率、疫情、地产政策的边际变化，整体采取了防守的投资策略，尤其在10月后逐步做了减仓。在具体操作方面，主要从相对增配低波资产、减持债券资产等角度进行积极调仓，为组合平衡收益与流动性。</w:t>
              <w:br/>
              <w:t xml:space="preserve">二、2023一季度投资策略展望</w:t>
              <w:br/>
              <w:t xml:space="preserve">    2022年至今，国内流动性保持宽松，债券跑赢除商品外的大部分大类资产，获得更加稳健回报。2023年国内是稳增长大年，政策发力明确，但受制于房住不炒、地方严控隐性债务等约束，并不像以往周期那么容易刺激经济回升，地产和城投平台不再像以往周期那样融资需求积极扩张，叠加疫情冲击，在经济下行压力仍大、债券票息配置价值凸显的背景下，债券利率不具备继续大幅上行风险，全年不具有熊市的基本面基础。从绝对收益和利差角度来看，目前各期限债券和前期相比已具有一定的投资价值，当市场情绪渐稳后，存在一定的超调配置机会。下阶段总体策略：防守策略为主，看好高等级信用债票息和杠杆策略，以及金融机构债的投资机会，在波动中提高组合静态收益，兼顾产品流动性。</w:t>
              <w:br/>
              <w:t xml:space="preserve">权益方面：</w:t>
              <w:br/>
              <w:t xml:space="preserve">    1、22年初产品权益仓位较重，且多配了成长板块，是1-4月产品回撤较大的主要原因；4月市场底部组合结构整体偏成长且补了一些仓位，因此5-7月弹性较好，8-10月跟随市场产品有部分回撤；10-11月组合结构调整，部分降低新能源仓位，同时减持成长赛道风格产品，加配消费+医药到35%以上，同时增加港股配置，11月后权益部分基本微利状态，债券市场明显回调对产品拖累较大。12月疫情放开后市场整体下跌，产品随之回撤。总体看，今年权益部分年初成长仓位较高以及11月后债市回调造成产品2波较大回撤，后续仍需在权益仓位及结构上做出及时且足够的调整。</w:t>
              <w:br/>
              <w:t xml:space="preserve">    2、债券市场方面，近期在监管央行的介入下，市场有所企稳，考虑到疫情高峰过后，消费等需求将有明显好转，经济复苏加快，预计后续维持当对偏低的债券久期。权益方面，市场大幅波动震荡之后，现在处于较好的配置机会。12月中旬，随着疫情快速放开，市场成交低迷，出现了快速的下跌，这种下跌非基本面恶化导致，市场的理性相信会在近期内回归。市场主要板块看2023年的估值位置，都处于估值不高、有上涨空间的位置。同时经济处于复苏阶段，现在是比较好的投资时点，看好23年权益市场。</w:t>
              <w:br/>
              <w:t xml:space="preserve">    国内来看，随着疫情彻底的放开和快速的感染恢复，市场的清淡低迷会快速的恢复，年底目前出于流动性较差的阶段，但是看明年，经济的复苏，消费的恢复都已经越来越近。目前酒店等出行数据已经出现了拐点。结构上看，成长板块中，新能源车、光伏的成长板块依然是明年增速排名前列。目前23年行业估值便宜，现在股票价格有上涨空间。同时这两个领域的公司依然有很多产业发展创新带来的巨大成长机会。消费板块过去两年，受到疫情影响，消费板块的估值和业绩都有一定扰动。目前疫情快速发酵，顺周期的消费板块，在疫情影响过去，明年经济复苏的阶段，会有业绩的反转。医药板块中，新一轮的创新周期在逐步启动，同时医药消费领域在疫情过去后，消费场景也会恢复，重新进入一轮扩张的周期。经过漫长的估值消化后，现在看23年，医药估值非常合理。医药是长期具有成长性的行业，且我国人口老龄化在进一步加深，医药的配置价值突出。</w:t>
            </w: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4"/>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r>
      <w:tr>
        <w:trPr>
          <w:trHeight w:hRule="exact" w:val="36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兴银理财睿盈年年升10号净值型理财产品2022年年度报告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审计报告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480"/>
        </w:trPr>
        <w:tc>
          <w:tcPr>
     </w:tcPr>
          <w:p>
            <w:pPr>
              <w:pStyle w:val="EMPTY_CELL_STYLE"/>
            </w:pPr>
          </w:p>
        </w:tc>
        <w:tc>
          <w:tcPr>
            <w:gridSpan w:val="5"/>
            <w:tcMar>
              <w:top w:w="0" w:type="dxa"/>
              <w:left w:w="0" w:type="dxa"/>
              <w:bottom w:w="0" w:type="dxa"/>
              <w:right w:w="0" w:type="dxa"/>
            </w:tcMar>
            <w:vAlign w:val="center"/>
          </w:tcPr>
          <w:p>
            <w:pPr>
              <w:ind/>
              <w:jc w:val="left"/>
              <w:spacing w:lineRule="exact" w:line="320" w:after="0" w:before="0"/>
            </w:pPr>
            <w:r>
              <w:rPr>
                <w:rFonts w:ascii="宋体" w:hAnsi="宋体" w:eastAsia="宋体" w:cs="宋体"/>
                <w:color w:val="000000"/>
                <w:sz w:val="21"/>
              </w:rPr>
              <w:br/>
              <w:t xml:space="preserve">    本产品聘请毕马威会计师事务所（特殊普通合伙）上海分所依据中国注册会计师审计准则对本产品的财务报表，包括2022年12月31日的资产负债表，2022年度的利润表和理财产品净值变动表以及相关财务报表附注进行了审计，并出具审计报告。</w:t>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八.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79.56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16.82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exact" w:val="17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兴银理财睿盈年年升10号净值型理财产品2022年年度报告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22工行二级资本债03A</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29,148,210.00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7.92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22农行永续债02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28,879,620.00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7.85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21南京医药MTN001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20,116,680.00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21广发06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20,102,800.00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21平证05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20,085,020.00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21新田投资MTN001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20,052,240.00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20晋煤01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20,005,900.00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20晋电01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20,004,800.00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22CSFD135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19,999,000.00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16黔高速</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19,980,540.00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5.43</w:t>
                        </w:r>
                      </w:p>
                    </w:tc>
                  </w:tr>
                </w:tbl>
                <w:p>
                  <w:pPr>
                    <w:pStyle w:val="EMPTY_CELL_STYLE"/>
                  </w:pPr>
                </w:p>
              </w:tc>
            </w:tr>
          </w:tbl>
          <w:p>
            <w:pPr>
              <w:pStyle w:val="EMPTY_CELL_STYLE"/>
            </w:pPr>
          </w:p>
        </w:tc>
        <w:tc>
          <w:tcPr>
     </w:tcPr>
          <w:p>
            <w:pPr>
              <w:pStyle w:val="EMPTY_CELL_STYLE"/>
            </w:pPr>
          </w:p>
        </w:tc>
      </w:tr>
      <w:tr>
        <w:trPr>
          <w:trHeight w:hRule="exact" w:val="3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兴银理财睿盈年年升10号净值型理财产品2022年年度报告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24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21恒健MTN001(权益出资)</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21南京医药MTN001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22晋焦煤MTN002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兴业财富-兴合集合资产管理计划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兴业财富资产管理有限公司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051010100101251560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兴银理财睿盈年年升10号净值型理财产品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2023年5月15日</w:t>
            </w:r>
          </w:p>
        </w:tc>
        <w:tc>
          <w:tcPr>
     </w:tcPr>
          <w:p>
            <w:pPr>
              <w:pStyle w:val="EMPTY_CELL_STYLE"/>
            </w:pPr>
          </w:p>
        </w:tc>
        <w:tc>
          <w:tcPr>
     </w:tcPr>
          <w:p>
            <w:pPr>
              <w:pStyle w:val="EMPTY_CELL_STYLE"/>
            </w:pPr>
          </w:p>
        </w:tc>
      </w:tr>
      <w:tr>
        <w:trPr>
          <w:trHeight w:hRule="exact" w:val="4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