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兴银理财兴合丰瑞1号净值型理财产品2022年年度报告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兴银理财兴合丰瑞1号净值型理财产品</w:t>
              <w:br/>
              <w:t xml:space="preserve">2022年年度报告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报告送出日期：2023年5月15日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兴银理财兴合丰瑞1号净值型理财产品2022年年度报告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 </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兴银理财兴合丰瑞1号净值型理财产品2022年年度报告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兴银理财兴合丰瑞1号净值型理财产品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9K221008</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Z7002021000229</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196,089,547.86份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3.00%--7.00%/--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400"/>
        <w:gridCol w:w="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兴银理财兴合丰瑞1号净值型理财产品2022年年度报告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产品9K221008自成立日以来，累计净值增长率为1.5450%，年化累计净值增长率为1.2560%。</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0.99772</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1.01545</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195,642,259.84</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9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李源先生，经济学博士，FRM，7年资产管理行业从业经验。2016年加入兴业银行资产管理部，现任兴银理财权益投资部投资经理。</w:t>
              <w:br/>
              <w:t xml:space="preserve">    姚立宇先生，澳大利亚墨尔本大学商学学士、澳大利亚莫纳什大学应用金融学硕士，曾就职国家开发银行。2016年加入兴业银行资产管理部固定收益处，2020年入职兴银理财有限责任公司，任固定收益投资经理。投资理念追求收益性和安全性兼顾，获得持续稳定回报，擅长方向通过信用研究和挖掘获取超额收益，并通过利差变化寻求交易性机会。</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34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固收方面：</w:t>
              <w:br/>
              <w:t xml:space="preserve">一、2022年投资策略与运作回顾</w:t>
              <w:br/>
              <w:t xml:space="preserve">    2022年全年债券市场收益率整体上行。其中，1-8月债市利率震荡下行，10年国债利率从2021年末的2.78%，下行至了2022年8月下旬的2.58%，累计下行了20bp，其中利率上半年震荡为主，利率中枢在2.78%附近；信用则自3月以来持续下行，实现了信用利差的大幅压缩。11月以来，在地产政策不断出台叠加疫情政策放开的影响下，利率快速回升，11月单月10年国债上行22bp，3年AA+城投上行64bp，利差迅速走阔；12月以来，市场进入第二轮负反馈，本轮负反馈的主要冲击来自12月打开的定开型产品的赎回，在利率和存单已经跌幅收窄的情况下，信用和二永仍保持较深的下跌幅度。全年来看，10年国债上行6bp，同业存单下行18bp，3年AAA中票上行26bp，3年AA+中票上行44bp。</w:t>
              <w:br/>
              <w:t xml:space="preserve">    产品运作方面，前三季度主要在震荡市场行情下，对产品组合久期、券种择机进行积极调仓操作。其中三季度，整体加大了对久期策略的运用，7-8月中旬稳步提升产品平均久期，并在9月后逐步换仓止盈。在券种具体操作方面，主要跟踪利差的变动，进行积极调仓，从信用利差、期限利差等多角度为组合增厚投资收益。四季度，考虑到边际抬升的资金利率、疫情、地产政策的边际变化，整体采取了防守的投资策略，尤其在10月后逐步做了减仓。在具体操作方面，主要从相对增配低波资产、减持债券资产等角度进行积极调仓，为组合平衡收益与流动性。</w:t>
              <w:br/>
              <w:t xml:space="preserve">二、2023一季度投资策略展望</w:t>
              <w:br/>
              <w:t xml:space="preserve">    2022年至今，国内流动性保持宽松，债券跑赢除商品外的大部分大类资产，获得更加稳健回报。2023年国内是稳增长大年，政策发力明确，但受制于房住不炒、地方严控隐性债务等约束，并不像以往周期那么容易刺激经济回升，地产和城投平台不再像以往周期那样融资需求积极扩张，叠加疫情冲击，在经济下行压力仍大、债券票息配置价值凸显的背景下，债券利率不具备继续大幅上行风险，全年不具有熊市的基本面基础。从绝对收益和利差角度来</w:t>
            </w: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兴银理财兴合丰瑞1号净值型理财产品2022年年度报告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92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看，目前各期限债券和前期相比已具有一定的投资价值，当市场情绪渐稳后，存在一定的超调配置机会。下阶段总体策略：防守策略为主，看好高等级信用债票息和杠杆策略，以及金融机构债的投资机会，在波动中提高组合静态收益，兼顾产品流动性。</w:t>
              <w:br/>
              <w:t xml:space="preserve">权益方面：</w:t>
              <w:br/>
              <w:t xml:space="preserve">    2022年四季度，在权益投资方面，我们坚持绝对收益目标，先为不败而后求胜，严格按照风险预算管理要求，强调底层资产的安全边际，控制下行风险，积极寻找能够带来正beta的投资方向，在赔率和胜率的投资框架下进行权益资产结构的选择。抓住经济基本面改善的确定性机会，以及防范房地产风险的底线要求，10月重点配置低估值高股息的金融板块。11月逐步提高权益仓位，加仓工业金属、信创等顺周期方向。在中央经济工作会议定调后，增加港股互联网资产的配置。</w:t>
              <w:br/>
              <w:t xml:space="preserve">    展望2023年，我们认为，经济复苏或将成为全年主线，决定大类资产配置的胜率，过程不会一帆风顺，可能一波三折。在固收投资方面，时间可能不是债券的朋友，债券收益率短期以区间震荡行情为主，中期面临上行压力。策略上灵活调整组合久期，阶段性波段操作，赚取资本利得。在权益投资方面，在强化风险预算管理的基础上，一是低估值高股息资产能够给组合提供稳定的底仓收益。二是今年我国释放扩大内需的强烈信号，叠加疫情政策优化后，消费行业需求端改善是大概率事件，但不同细分板块的赔率差异较大，选择估值保护足、赔率较高的细分方向。三是受益于监管政策环境改善，叠加受益于消费需求释放、估值处于历史低位的港股互联网公司。</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2022年12月31日的资产负债表，2022年度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2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兴银理财兴合丰瑞1号净值型理财产品2022年年度报告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9.53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12.45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68.47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9.55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95.81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18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兴业基金-兴福2号集合资产管理计划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96,326,907.02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49.24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兴业信托·兴享稳健睿郡1号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91,314,000.00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46.67</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8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兴银理财兴合丰瑞1号净值型理财产品2022年年度报告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9K221008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兴业基金-兴福2号集合资产管理计划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兴业基金管理有限公司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9K221008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兴业信托·兴享稳健睿郡1号</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68.53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兴业国际信托有限公司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051010100101274417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兴银理财兴合丰瑞1号净值型理财产品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2023年5月15日</w:t>
            </w:r>
          </w:p>
        </w:tc>
        <w:tc>
          <w:tcPr>
     </w:tcPr>
          <w:p>
            <w:pPr>
              <w:pStyle w:val="EMPTY_CELL_STYLE"/>
            </w:pPr>
          </w:p>
        </w:tc>
        <w:tc>
          <w:tcPr>
     </w:tcPr>
          <w:p>
            <w:pPr>
              <w:pStyle w:val="EMPTY_CELL_STYLE"/>
            </w:pPr>
          </w:p>
        </w:tc>
      </w:tr>
      <w:tr>
        <w:trPr>
          <w:trHeight w:hRule="exact" w:val="4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