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兴银理财兴合添汇1号混合类净值型理财产品2022年年度报告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兴银理财兴合添汇1号混合类净值型理财产品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兴银理财兴合添汇1号混合类净值型理财产品2022年年度报告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兴银理财兴合添汇1号混合类净值型理财产品2022年年度报告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兴银理财兴合添汇1号混合类净值型理财产品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9K221003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Z7002021000054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混合类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2,037,568,320.06份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3.00%--8.00%/--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兴银理财兴合添汇1号混合类净值型理财产品2022年年度报告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产品9K221003自成立日以来，累计净值增长率为-5.4640%，年化累计净值增长率为-3.0495%。</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0.94536</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0.94536</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1,926,227,861.21</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王浩先生，CFA，FRM，美国芝加哥大学金融数学硕士，2016年加入兴业银行，金融从业10年，曾在中国金融期货交易所工作，为股指期货、股指期权的开发和上市的核心团队成员，在量化投资和衍生品投资方面具有丰富经验。</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73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展望2023年，对A股未来12个月的市场持中性偏积极的看法，10月底至今的反弹行情虽有波折但仍有望继续延续，中期重点关注增长预期的企稳，尤其是中下游领域。从当前的市场情形看：1）国内方面，近期国内疫情防控措施进一步优化，全国部分地区也正逐步渡过疫情峰值期，后续关注消费场景的逐步修复与经济复苏的节奏。前期中央政治局会议和中央经济工作会议相继召开，政策更加注重稳经济提信心，并将“扩大内需”作为2023年几项重点工作的首位，有助于改善投资者对于中期经济基本面逐步企稳回升的预期。2）海外方面，伴随着美国等主要经济体衰退的预期不断加强，美联储或许在今年二季度附近进一步调整货币政策节奏、下半年关注降息预期出现的可能性，预期变化将对全球资产配置带来影响。3）市场层面看，当前A股估值仍处于历史低位，成交金额、换手率等情绪指标重新回落到历史阶段性底部附近。综合来看，当前A股仍处于较好的布局期，随着疫情影响逐步消退、中国增长走向实质性复苏，市场有望在今年迎来趋势性投资机会。</w:t>
              <w:br/>
              <w:t xml:space="preserve">    从近期各方面进展来看：1）国内防疫政策优化以及最新疫情情况。12月28日，国务院联防联控机制发布《关于印发对新型冠状病毒感染实施“乙类乙管”总体方案的通知》，要求自2023年1月8日起，对新冠病毒感染实施“乙类乙管”，对感染者不再实行隔离措施、不再判定密切接触者、不再划定高低风险区，同时取消海外入境后全员核酸检测和集中隔离，有序恢复中国公民的出境旅游。从高频数据看，北京的地铁客运量已从12月中旬110万人次的低点回升至12月底的482万人次，上海的地铁客运量同样从上周末175万人次的阶段性低点回升至431万人次，表明当前疫情对于居民消费、出行等方面的压力正逐步缓释。2）11月工业企业利润数据与12月PMI数据显示国内经济增长仍待企稳。今年1-11月全国工业企业利润同比下降3.6%，降幅较1-10月扩大0.6个百分点；12月全国制造业PMI续降至47.0%，较上月回落1.0个百分点，连续第三个月出现下行。上述数据表明四季度以来增长仍面临较多的阶段性挑战。3）国家发改委、央行相继召开例会，政策依然强调稳增长。12月28日全国发展和改革工作会议在京召开，会议指出要“着力稳增长、稳就业、稳物价，大力提振市场信心，积极扩大国内有效需求，充分发挥消费的基础作用和投资的关键作用，推动经济运行整体好转”。同日央行货币政策委员会召开2022年第四季度例会，强调要“加大宏观政策调控力度，大力提振市场信心”。综合来看，当前政策依旧强调稳增长，关注后续政策的落实情况与具体效力。4）2023年全国两会召开时间公布。根据决定，十四届全国人大一次会议将于2023年3月5日在北京召开，全国政</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兴银理财兴合添汇1号混合类净值型理财产品2022年年度报告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协十四届一次会议将于2023年3月4日在北京召开。5）海外市场方面，海外投资者仍普遍关注主要国家货币政策及增长预期；近期美国遭受冬季风暴等极端天气冲击，关注其对原油、天然气等国际大宗商品供需及价格的短期影响。</w:t>
              <w:br/>
              <w:t xml:space="preserve">    配置方面，短期要紧跟政策边际变化节奏来配置，如地产链条、受疫情影响的消费板块。中期仍然是根据景气程度以及产业政策支持方向来把握产业升级与消费升级的主线。未来3-6个月建议关注如下三条主线：1）预期不高、政策出现边际变化受影响大的领域，如地产链条、受疫情影响的消费，包括食品饮料、家电、轻工家居等；中央经济工作会议提及完善中国特色国有企业现代公司治理、支持平台企业发展，相关领域也值得关注；2）高景气、有政策支持、中国有竞争力的制造成长赛道，包括科技软硬件、高端制造、军工等；3）股价调整相对充分、中长期前景有待明朗的领域，如医药、互联网等，配置时机需等待政策预期变化。</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2022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2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兴银理财兴合添汇1号混合类净值型理财产品2022年年度报告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57.18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41.59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18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汇添富-兴汇100号集合资产管理计划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1,706,085,989.11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217,467,719.83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11.29</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兴银理财兴合添汇1号混合类净值型理财产品2022年年度报告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051010100101175870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兴银理财兴合添汇1号混合类净值型理财产品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5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