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天天万利宝稳利3号净值型理财产品G款</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天天万利宝稳利3号净值型理财产品G款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5,781,469,759.89份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4.50%--5.00%/5.00%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产品9K218067自成立日以来，累计净值增长率为13.5470%，年化累计净值增长率为3.9812%。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1.04585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1.13547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6,046,525,569.91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10年固定收益领域投资交易经验。自2015年8月加入兴业银行以来，一直在资产管理事业部任投资经理，债券交易量近数千亿，交易能力出众；擅长利率债波段和信用债价值挖掘，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1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549,951,050.00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云南信托-好景11号单一资金信托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510,560,873.20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383,147,667.31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6.34</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云南信托-好景28号单一资金信托-恒逸石化可转债优先配售融资业务（浙江恒逸集团有限公司）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351,275,394.21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6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205,710,232.31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建信保险资管-浦江粤启1号资产支持计划第5期—万科（深圳分行）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200,025,800.00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汉口银行大额存单20200414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22工商银行二级01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197,467,000.00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21鲁黄金MTN008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180,240,120.00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21工商银行二级02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179,199,180.00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5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19东方债03BC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20工商银行二级01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兴瀚资管-兴元18号集合资产管理计划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上海兴瀚资产管理有限公司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兴业银行理财托管专户天天万利宝稳利3号G款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