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兴业银行天天万利宝稳利6号净值型理财产品B款</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兴业银行天天万利宝稳利6号净值型理财产品B款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8,541,264,079.9份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2,796,906,429.67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季季高A款（代发工资专属）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718,099,587.06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9K219472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5,026,258,063.17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产品9K219172自成立日以来，累计净值增长率为8.7140%，年化累计净值增长率为3.4497%。</w:t>
              <w:br/>
              <w:t xml:space="preserve">产品9K219372自成立日以来，累计净值增长率为8.8130%，年化累计净值增长率为3.5781%。</w:t>
              <w:br/>
              <w:t xml:space="preserve">产品9K219472自成立日以来，累计净值增长率为5.6120%，年化累计净值增长率为3.3470%。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9,130,347,600.37</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3,040,631,477.67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781,388,850.55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9K219472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5,308,327,272.15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7年固定收益投资经历，2019年加入兴银理财。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4,377,706,959.32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1,200,726,859.06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754,530,330.23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533,997,265.38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512,451,065.68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240,634,320.00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139,994,120.00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139,994,120.00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139,993,980.00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20乌城投PPN001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