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1,113,723,810.56份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产品9K220003自成立日以来，累计净值增长率为5.6680%，年化累计净值增长率为2.1461%。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1.05668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1,143,435,614.17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收益，兼顾产品流动性。</w:t>
              <w:br/>
              <w:t xml:space="preserve">权益方面：</w:t>
              <w:b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b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439,028,139.84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59,179,080.00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50,231,200.00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22银河C5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48,770,300.00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44,050,468.00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22海鸿05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38,101,160.00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21康居01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29,812,320.00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29,791,950.00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