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567,933,783.98份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产品9K220007自成立日以来，累计净值增长率为0.0930%，年化累计净值增长率为0.0412%。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0.98093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1.00093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557,104,748.16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b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1、22年初产品权益仓位较重，且多配了成长板块，是1-4月产品回撤较大的主要原因；4月市场底部组合结构整体偏成长且补了一些仓位，因此5-7月弹性较好，8-10月跟随市场产品有部分回撤；10-11月组合结构调整，部分降低新能源仓位，同时减持成长赛道风格产品，加配消费+医药到35%以上，同时增加港股配置，11月后权益部分基本微利状态，债券市场明显回调对产品拖累较大。12月疫情放开后市场整体下跌，产品随之回撤。总体看，今年权益部分年初成长仓位较高以及11月后债市回调造成产品2波较大回撤，后续仍需在权益仓位及结构上做出及时且足够的调整。</w:t>
              <w:br/>
              <w:t xml:space="preserve">    2、债券市场方面，近期在监管央行的介入下，市场有所企稳，考虑到疫情高峰过后，消费等需求将有明显好转，经济复苏加快，预计后续维持当对偏低的债券久期。权益方面，市场大幅波动震荡之后，现在处于较好的配置机会。12月中旬，随着疫情快速放开，市场成交低迷，出现了快速的下跌，这种下跌非基本面恶化导致，市场的理性相信会在近期内回归。市场主要板块看2023年的估值位置，都处于估值不高、有上涨空间的位置。同时经济处于复苏阶段，现在是比较好的投资时点，看好23年权益市场。</w:t>
              <w:br/>
              <w:t xml:space="preserve">    国内来看，随着疫情彻底的放开和快速的感染恢复，市场的清淡低迷会快速的恢复，年底目前出于流动性较差的阶段，但是看明年，经济的复苏，消费的恢复都已经越来越近。目前酒店等出行数据已经出现了拐点。结构上看，成长板块中，新能源车、光伏的成长板块依然是明年增速排名前列。目前23年行业估值便宜，现在股票价格有上涨空间。同时这两个领域的公司依然有很多产业发展创新带来的巨大成长机会。消费板块过去两年，受到疫情影响，消费板块的估值和业绩都有一定扰动。目前疫情快速发酵，顺周期的消费板块，在疫情影响过去，明年经济复苏的阶段，会有业绩的反转。医药板块中，新一轮的创新周期在逐步启动，同时医药消费领域在疫情过去后，消费场景也会恢复，重新进入一轮扩张的周期。经过漫长的估值消化后，现在看23年，医药估值非常合理。医药是长期具有成长性的行业，且我国人口老龄化在进一步加深，医药的配置价值突出。</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40,184,960.00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30,636,349.98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19湘建工MTN001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29,218,830.00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富国新动力C 001510.OF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26,887,804.88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21华发实业MTN003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19,871,180.00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21岳阳03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21南湖投资PPN001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19,746,360.00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创金合信数字经济主题C（011230.OF）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19,333,918.24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22美的置业MTN001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18,703,182.00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