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兴银理财悦动增强18个月3号定期开放固收类理财产品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兴银理财悦动增强18个月3号定期开放固收类理财产品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Z7002022000109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156,341,172.03份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个人定期(整存整取)一年+浮动基数2.95%/4.45%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悦动增强18个月3号A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9K22043A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156,341,172.03</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产品9K22043A自成立日以来，累计净值增长率为1.0390%，年化累计净值增长率为1.6633%。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157,965,245.18</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157,965,245.18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90%固收+10%衍生品套利策略。产品目前久期1年，杠杆110%。四季度产品打开进入下一个定开周期。对于上一个周期，四季度仓位自然衰减，但还是受到了债券市场大幅波动的影响，净值出现了一定下滑。新的一期成立之时仍然受到债券大幅下挫的影响，但目前随着债券价格的反弹，产品收益也逐步稳定。展望后市，目前市场仍然处于复苏的初期，预期打得比较满。利率大概率处于一个震荡状态，需要对复苏程度和资金是否会收敛保持关注。</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本产品聘请毕马威会计师事务所（特殊普通合伙）上海分所依据中国注册会计师审计准则对本产品的财务报表，包括2022年12月31日的资产负债表，自2022年05月18日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22常州城建05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G22三资</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9,928,920.00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8,296,800.00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8,049,176.00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7,074,669.00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7,030,779.00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6,769,150.70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22保置01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5,888,448.00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9K220430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051010100101374383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兴银理财悦动增强18个月3号定期开放固收类理财产品</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兴银理财悦动增强18个月3号定期开放固收类理财产品2022年年度报告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