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792,942,912.28份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671,095,093.20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121,847,819.08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产品9K220127自成立日以来，累计净值增长率为0.5320%，年化累计净值增长率为0.2933%。</w:t>
              <w:br/>
              <w:t xml:space="preserve">产品9K220227自成立日以来，累计净值增长率为0.7420%，年化累计净值增长率为0.4091%。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797,415,746.64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674,663,873.19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122,751,873.45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曹子寒先生，北京大学物理学、经济学学士，金融法学硕士，CPA。2017年加入兴业银行，6年权益研究投资经验。现任兴银理财权益投资部投资经理。</w:t>
              <w:br/>
              <w:t xml:space="preserve">    徐莹莹女士，西安交通大学数量经济学硕士，西北工业大学理学学士，拥有固定收益领域15年研究和投资经验。曾任职于华泰证券、海通证券研究所，所在团队多次上榜和入围新财富最佳分析师。于2014年加入兴业银行，任投资经理，擅长定量定性的宏观研判和信用债价值挖掘，一二级市场投资、交易和产品管理经验丰富，所管理的净值型“稳利”系列产品，业绩优秀，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0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回顾2022年，美债上行、上海疫情、中概股退市潮、俄乌冲突、人民币急速贬值，连续的多重利空造成A股全年震荡走低，核心矛盾是风险偏好不断恶化，盈利端同样造成拖累。</w:t>
              <w:br/>
              <w:t xml:space="preserve">回顾2022年四季度，市场有意疫情政策的变化出现明显波动，走势先抑后扬，10-11月疫情政策持续趋严，叠加经济压力持续，市场回调仍然明显，11月开放后市场出现明显反弹，尤其对政策发力的行业（如地产等）以及经济复苏的方向（如消费、出行等），市场出现明显偏好，轮动速度很快，但进入12月中旬后，市场找到的这些行业估值回升至合理水平，市场开始走向一些更偏向逻辑演绎的方向，如地产后周期等，主题行情凸显。对组合而言，权益部分在11月开始进行较大幅度调整，减持成长制造板块持仓，增持港股、消费板块持仓，顺市场逻辑进行调整，获得不错的成效，但债券市场出现明显下跌，对组合影响大，因此组合还是不同程度出现净值的下跌。</w:t>
              <w:br/>
              <w:t xml:space="preserve">    展望2023年，于我国宏观经济是稳步迈向复苏的一年。二十大报告重申2035年远景目标：“需要达到国际公认的发展水平标准，比如目前中等发达国家人均国内生产总值在2万美元以上。”这对至35年的国家复合增长率提出不低的要求。政策已经明确提出“扩大内需战略“，指向托基建、稳地产、扩制造业，大概率伴随财政空间和金融政策宽松，而疫情期间形成的“超额储蓄”也对疫情复苏后的消费市场提供有利支持，逐渐摆脱疫情影响后，将出现居民收入预期改善、生活半径修复，消费复苏已在路上。从周期角度看，PPI下行持续12个月，处于尾部阶段，23年上半年大概率走入PPI上行周期，同时也是名义GDP的修复期，企业盈利改善可期。同时应看到外需下行所带来的不确定性，欧美经济仍在回落周期中，但综合来看，2023年国内增长和全球流动性将度过压力峰值，对中国权益资产有利。</w:t>
              <w:br/>
              <w:t xml:space="preserve">    我们对2023年的权益市场是较为乐观的，中国经济将走出谷底、迈向复苏。具体对于权益市场的运作，23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复苏后，不少之前演绎过的复苏逻辑将进入验证期，市场对企业盈利的确定性要求会更高，总结来看，核心线索是政策和盈利。目前年初的时点，22年许多复苏逻辑已经演绎，且长期逻辑有瑕疵的行业也有明显回调</w:t>
            </w: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22工行二级资本债03A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58,296,420.00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40,370,960.00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39,871,360.00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39,380,960.00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30,210,480.00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21广西机场MTN002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