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兴银理财安愉悦享1号净值型理财产品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兴银理财安愉悦享1号净值型理财产品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9K217040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203,696,942.42份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85,320,164.61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118,376,777.81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产品9K21704A自成立日以来，累计净值增长率为-1.0100%，年化累计净值增长率为-0.8032%。</w:t>
              <w:br/>
              <w:t xml:space="preserve">产品9K21704B自成立日以来，累计净值增长率为-0.8890%，年化累计净值增长率为-0.7069%。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201,782,415.21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84,458,258.22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117,324,156.99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b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br/>
              <w:t xml:space="preserve">对于2023年的操作来说，今年会以全市场类基金为主要配置方向。具体标的选择上，依然会围绕投资业绩、能力圈、投资方法的可持续性、规模承载性等多个方面做严格筛选。</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10,310,170.00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21兖州煤业MTN001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21丽水01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9,994,350.00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9,992,770.00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21石狮产业MTN001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9,971,480.00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21莆田国资PPN003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9,902,860.00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9,899,330.00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051010100101271003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兴银理财安愉悦享1号净值型理财产品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