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534,979,863.92份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448,988,460.29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85,991,403.63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产品9K220129自成立日以来，累计净值增长率为-2.0820%，年化累计净值增长率为-1.2990%。</w:t>
              <w:br/>
              <w:t xml:space="preserve">产品9K220229自成立日以来，累计净值增长率为-1.5210%，年化累计净值增长率为-0.9490%。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524,323,968.08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439,640,781.06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84,683,187.02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br/>
              <w:t xml:space="preserve">    吕雯丽女士，复旦大学财务管理学士、金融硕士，7年债券投资研究经验，曾任华安基金管理有限公司信用研究员，于2019年加入兴银理财有限责任公司，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2022年可定义为结构性熊市，熊市级别超越2018年，受疫情、海外冲突、美联储等宏观环境影响，多数行业大幅下跌。展望2023年上述因素逐步缓建，权益市场估值水平历史低位，对2023年权益市场表现乐观。分资产来看，债券市场方面，目前来看，债市更多是预防性调整，反映的是预期的变化，但经济基本面的走势仍需要检验。从当前债券估值来看，短端品种收益率相对理财负债成本已具备一定配置价值，并且当前强预期弱现实背景下资金利率明显上行的可能性不高，短端息差也具备较好的保护空间。从绝对收益和利差角度来看，目前各期限债券和前期相比已具有一定的投资价值，当市场情绪渐稳后，存在一定的超调配置机会。对于客户端来讲，产品未来的投资收益将优于过去一段时间的持有收益。下阶段总体策略：防守策略为主，保持产品流动性，控制信用风险，抓住超调后的配置机会。同时逢高构建期限合适、票息可观的优质信用债，在平衡权益波动、享受债券信用溢价的同时，也能享受曲线骑乘收益，同时合理利用杠杆带来的机会，后续如有机会进一步加大操作力度。权益方面，宏观上国内国外压制因素逐渐消退。实体经济预计前低后高，年初往后逐渐好转，货币和社融增长率到年中见底回升，全年权益市场机会较多，成长价值股均有较高投资性价比。大宗商品明年筑底回升概率也较大，黄金等投资机会显著。明年投资范围应更宽广，呈现多点开花局面，目前基本面及估值均在历史低位水平。海外美元处于高位，虽有衰退风险，但也需观察通胀的韧性，是否利率中枢系统性上移是观察的关键。国内主要关注疫后重建的投资机会，包括消费制造出行等，目前投资主线尚不明朗。本产品去年打开后权益仓位中枢偏低，2022年4季度逢低加仓，2023Q1拟继续加仓至中枢仓位之上，根据市场轮动做一定高低切换交易。</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20中原豫资MTN001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30,194,790.00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20,593,260.00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20,281,240.00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20海通恒信MTN001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20,128,940.00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20明城01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21环球租赁MTN002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