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兴银理财ESG悦动7号净值型理财产品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637,869,320.29份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568,013,110.36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69,856,209.93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产品9K22016A自成立日以来，累计净值增长率为1.9770%，年化累计净值增长率为2.3128%。</w:t>
              <w:br/>
              <w:t xml:space="preserve">产品9K22016B自成立日以来，累计净值增长率为1.9920%，年化累计净值增长率为2.3304%。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650,490,761.19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579,242,861.80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71,247,899.39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宏观层面只能说是魔幻的2022年，百年未有之大变局，从长周期角度，当前可能处于本轮60年康波周期的萧条期起点，10年周期维度，出现滞涨风险的可能性在提升，3年短周期的角度，处于库存周期的下行期中期，但是本轮库存周期较弱，类似于2012-2013年的周期转化。</w:t>
              <w:br/>
              <w:t xml:space="preserve">    从短周期角度，2022年的非线性变量着实较多，而市场按照其惯有的线性外推法形成市场的一致性预期，结果就是一再打脸。回顾来看，2022年压制经济的政策因素贯穿全年，债券的机会始终存在，但因为担心“稳增长”以及“政策的随时变脸”使得市场走得十分犹豫和纠结；权益方面，受“人事变革年”等政治生态因素的影响，风险偏好不高，且较差的经济基本面更是使得EPS的实际值以及预期值不断下降，市场在4月、10月两次触底指数低点。</w:t>
              <w:br/>
              <w:t xml:space="preserve">    展望2023年，整体而言明年的市场环境判断，相对确定的是经济大概率复苏，不确定的是复苏的节奏和高度，以及是否会引起通胀，具体的走向可能无法完全清晰地判断，但是我们可以根据具体情景提前规划，比如债券市场，如果恢复到2019年，合理中枢可能在3.0%-3.3%，中枢为3.15%，如果恢复到2021年，中枢约在2.90%，我们假设市场位于两个情景之前，收益率在2.90%-3.15%，当前位置上行的概率存在，但是上行幅度可控；权益市场，消费、成长、价值周期均处于基本面及估值的相对底部，下行空间有限，风格上，伴随能源革命及中国产业升级的大背</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景，本轮权益的主线应该还是在科技、高端制造、新能源等成长行业中。</w:t>
              <w:br/>
              <w:t xml:space="preserve">二、组合策略。</w:t>
              <w:br/>
              <w:t xml:space="preserve">    悦动7号目前维持久期0.5-1.5年；衍生品套利策略不高于5%的比例，由于10月底至11月中旬以来，对于防疫、地产政策转向的速度、调整的力度把握不足，带来组合存在一定的波动，2023年整体经济将处于弱复苏阶段，将债券久期逐步降低，并择机博弈市场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本产品聘请毕马威会计师事务所（特殊普通合伙）上海分所依据中国注册会计师审计准则对本产品的财务报表，包括2022年12月31日的资产负债表，自2022年02月23日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GC曹01A3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59,459,700.00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22联优01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39,736,000.00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34,990,935.00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30,085,770.00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22本钢集团MTN001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24,572,025.00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22鲁宏桥MTN002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23,792,760.00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20,015,992.81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20,003,460.00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22高淳经开CP003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19,939,080.00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