
<file path=[Content_Types].xml><?xml version="1.0" encoding="utf-8"?>
<Types xmlns="http://schemas.openxmlformats.org/package/2006/content-types">
  <Default Extension="gif" ContentType="image/gif"/>
  <Default Extension="jpeg" ContentType="image/jpeg"/>
  <Default Extension="jpg" ContentType="image/jpeg"/>
  <Default Extension="png" ContentType="image/png"/>
  <Default Extension="tiff" ContentType="image/tif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docProps/app.xml" ContentType="application/vnd.openxmlformats-officedocument.extended-properties+xml"/>
  <Override PartName="/docProps/core.xml" ContentType="application/vnd.openxmlformats-package.core-properties+xml"/>
</Types>
</file>

<file path=_rels/.rels><?xml version="1.0" encoding="UTF-8"?>
<Relationships xmlns="http://schemas.openxmlformats.org/package/2006/relationships">
<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w:body>
    <w:tbl>
      <w:tblPr>
        <w:tblLayout w:type="fixed"/>
      </w:tblPr>
      <w:tblGrid>
        <w:gridCol w:w="1"/>
        <w:gridCol w:w="3020"/>
        <w:gridCol w:w="380"/>
        <w:gridCol w:w="2000"/>
        <w:gridCol w:w="2000"/>
        <w:gridCol w:w="2620"/>
        <w:gridCol w:w="680"/>
        <w:gridCol w:w="1"/>
      </w:tblGrid>
      <w:tr>
        <w:trPr>
          <w:trHeight w:hRule="exact" w:val="0"/>
        </w:trPr>
        <w:tc>
          <w:tcPr>
     </w:tcPr>
          <w:p>
            <w:pPr>
              <w:pStyle w:val="EMPTY_CELL_STYLE"/>
            </w:pPr>
            <w:bookmarkStart w:id="0" w:name="JR_PAGE_ANCHOR_0_1"/>
            <w:bookmarkEnd w:id="0"/>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兴银理财兴承恒享开放式1号净值型理财产品2022年年度报告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9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3020"/>
        </w:trPr>
        <w:tc>
          <w:tcPr>
     </w:tcPr>
          <w:p>
            <w:pPr>
              <w:pStyle w:val="EMPTY_CELL_STYLE"/>
            </w:pPr>
          </w:p>
        </w:tc>
        <w:tc>
          <w:tcPr>
            <w:gridSpan w:val="6"/>
            <w:tcMar>
              <w:top w:w="0" w:type="dxa"/>
              <w:left w:w="0" w:type="dxa"/>
              <w:bottom w:w="0" w:type="dxa"/>
              <w:right w:w="0" w:type="dxa"/>
            </w:tcMar>
            <w:vAlign w:val="center"/>
          </w:tcPr>
          <w:p>
            <w:pPr>
              <w:ind/>
              <w:jc w:val="center"/>
              <w:spacing w:lineRule="auto" w:line="360" w:after="0" w:before="0"/>
            </w:pPr>
            <w:r>
              <w:rPr>
                <w:rFonts w:ascii="宋体" w:hAnsi="宋体" w:eastAsia="宋体" w:cs="宋体"/>
                <w:color w:val="000000"/>
                <w:sz w:val="32"/>
                <w:b w:val="true"/>
              </w:rPr>
              <w:t xml:space="preserve">兴银理财兴承恒享开放式1号净值型理财产品</w:t>
              <w:br/>
              <w:t xml:space="preserve">2022年年度报告</w:t>
            </w:r>
          </w:p>
        </w:tc>
        <w:tc>
          <w:tcPr>
     </w:tcPr>
          <w:p>
            <w:pPr>
              <w:pStyle w:val="EMPTY_CELL_STYLE"/>
            </w:pPr>
          </w:p>
        </w:tc>
      </w:tr>
      <w:tr>
        <w:trPr>
          <w:trHeight w:hRule="exact" w:val="6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理财产品管理人：兴银理财有限责任公司</w:t>
            </w: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理财产品托管人：兴业银行股份有限公司</w:t>
            </w: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报告送出日期：2023年5月15日</w:t>
            </w:r>
          </w:p>
        </w:tc>
        <w:tc>
          <w:tcPr>
     </w:tcPr>
          <w:p>
            <w:pPr>
              <w:pStyle w:val="EMPTY_CELL_STYLE"/>
            </w:pPr>
          </w:p>
        </w:tc>
        <w:tc>
          <w:tcPr>
     </w:tcPr>
          <w:p>
            <w:pPr>
              <w:pStyle w:val="EMPTY_CELL_STYLE"/>
            </w:pPr>
          </w:p>
        </w:tc>
      </w:tr>
      <w:tr>
        <w:trPr>
          <w:trHeight w:hRule="exact" w:val="27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1/</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8</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100"/>
        <w:gridCol w:w="3300"/>
        <w:gridCol w:w="1000"/>
        <w:gridCol w:w="1000"/>
        <w:gridCol w:w="1000"/>
        <w:gridCol w:w="1000"/>
        <w:gridCol w:w="3100"/>
        <w:gridCol w:w="200"/>
        <w:gridCol w:w="1"/>
      </w:tblGrid>
      <w:tr>
        <w:trPr>
          <w:trHeight w:hRule="exact" w:val="0"/>
        </w:trPr>
        <w:tc>
          <w:tcPr>
     </w:tcPr>
          <w:p>
            <w:pPr>
              <w:pStyle w:val="EMPTY_CELL_STYLE"/>
              <w:pageBreakBefore/>
            </w:pPr>
            <w:bookmarkStart w:id="1" w:name="JR_PAGE_ANCHOR_0_2"/>
            <w:bookmarkEnd w:id="1"/>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8"/>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兴银理财兴承恒享开放式1号净值型理财产品2022年年度报告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8"/>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8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center"/>
            </w:pPr>
            <w:r>
              <w:rPr>
                <w:rFonts w:ascii="宋体" w:hAnsi="宋体" w:eastAsia="宋体" w:cs="宋体"/>
                <w:color w:val="000000"/>
                <w:sz w:val="30"/>
                <w:b w:val="true"/>
              </w:rPr>
              <w:t xml:space="preserve">目  录</w:t>
            </w: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4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840"/>
        </w:trPr>
        <w:tc>
          <w:tcPr>
     </w:tcPr>
          <w:p>
            <w:pPr>
              <w:pStyle w:val="EMPTY_CELL_STYLE"/>
            </w:pPr>
          </w:p>
        </w:tc>
        <w:tc>
          <w:tcPr>
     </w:tcPr>
          <w:p>
            <w:pPr>
              <w:pStyle w:val="EMPTY_CELL_STYLE"/>
            </w:pPr>
          </w:p>
        </w:tc>
        <w:tc>
          <w:tcPr>
            <w:gridSpan w:val="6"/>
            <w:tcMar>
              <w:top w:w="0" w:type="dxa"/>
              <w:left w:w="0" w:type="dxa"/>
              <w:bottom w:w="0" w:type="dxa"/>
              <w:right w:w="0" w:type="dxa"/>
            </w:tcMar>
            <w:vAlign w:val="top"/>
          </w:tcPr>
          <w:p>
            <w:pPr>
              <w:ind/>
              <w:jc w:val="left"/>
              <w:spacing w:lineRule="auto" w:line="336" w:after="0" w:before="0"/>
            </w:pPr>
            <w:r>
              <w:rPr>
                <w:rFonts w:ascii="宋体" w:hAnsi="宋体" w:eastAsia="宋体" w:cs="宋体"/>
                <w:color w:val="000000"/>
                <w:sz w:val="21"/>
              </w:rPr>
              <w:t xml:space="preserve">§ 一. 重要提示</w:t>
              <w:br/>
              <w:t xml:space="preserve">§ 二. 产品基本信息</w:t>
              <w:br/>
              <w:t xml:space="preserve">§ 三. 产品收益表现</w:t>
              <w:br/>
              <w:t xml:space="preserve">§ 四. 产品投资经理简介</w:t>
              <w:br/>
              <w:t xml:space="preserve">§ 五. 报告期内产品投资策略</w:t>
              <w:br/>
              <w:t xml:space="preserve">§ 六. 理财托管机构报告</w:t>
              <w:br/>
              <w:t xml:space="preserve">§ 七. 审计报告</w:t>
              <w:br/>
              <w:t xml:space="preserve">§ 八. 投资组合情况</w:t>
              <w:br/>
              <w:t xml:space="preserve">     1. 报告期末资产组合情况</w:t>
              <w:br/>
              <w:t xml:space="preserve">     2. 报告期末杠杆融资情况</w:t>
              <w:br/>
              <w:t xml:space="preserve">     3. 投资组合的流动性风险分析</w:t>
              <w:br/>
              <w:t xml:space="preserve">     4. 报告期末资产持仓前十基本信息</w:t>
              <w:br/>
              <w:t xml:space="preserve">     5. 报告期间关联交易情况</w:t>
              <w:br/>
              <w:t xml:space="preserve">     6. 投资账户信息</w:t>
            </w:r>
          </w:p>
        </w:tc>
        <w:tc>
          <w:tcPr>
     </w:tcPr>
          <w:p>
            <w:pPr>
              <w:pStyle w:val="EMPTY_CELL_STYLE"/>
            </w:pPr>
          </w:p>
        </w:tc>
        <w:tc>
          <w:tcPr>
     </w:tcPr>
          <w:p>
            <w:pPr>
              <w:pStyle w:val="EMPTY_CELL_STYLE"/>
            </w:pPr>
          </w:p>
        </w:tc>
      </w:tr>
      <w:tr>
        <w:trPr>
          <w:trHeight w:hRule="exact" w:val="60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2/</w:t>
            </w:r>
          </w:p>
        </w:tc>
        <w:tc>
          <w:tcPr>
            <w:gridSpan w:val="2"/>
            <w:tcMar>
              <w:top w:w="0" w:type="dxa"/>
              <w:left w:w="0" w:type="dxa"/>
              <w:bottom w:w="0" w:type="dxa"/>
              <w:right w:w="0" w:type="dxa"/>
            </w:tcMar>
            <w:vAlign w:val="top"/>
          </w:tcPr>
          <w:p>
            <w:pPr>
              <w:ind/>
              <w:jc w:val="left"/>
            </w:pPr>
            <w:r>
              <w:rPr>
                <w:rFonts w:ascii="SansSerif" w:hAnsi="SansSerif" w:eastAsia="SansSerif" w:cs="SansSerif"/>
                <w:color w:val="000000"/>
                <w:sz w:val="18"/>
              </w:rPr>
              <w:t xml:space="preserve">8</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3400"/>
        <w:gridCol w:w="740"/>
        <w:gridCol w:w="1260"/>
        <w:gridCol w:w="2000"/>
        <w:gridCol w:w="3300"/>
        <w:gridCol w:w="1"/>
      </w:tblGrid>
      <w:tr>
        <w:trPr>
          <w:trHeight w:hRule="exact" w:val="0"/>
        </w:trPr>
        <w:tc>
          <w:tcPr>
     </w:tcPr>
          <w:p>
            <w:pPr>
              <w:pStyle w:val="EMPTY_CELL_STYLE"/>
              <w:pageBreakBefore/>
            </w:pPr>
            <w:bookmarkStart w:id="2" w:name="JR_PAGE_ANCHOR_0_3"/>
            <w:bookmarkEnd w:id="2"/>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兴银理财兴承恒享开放式1号净值型理财产品2022年年度报告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5"/>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一. 重要提示</w:t>
            </w: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3080"/>
        </w:trPr>
        <w:tc>
          <w:tcPr>
     </w:tcPr>
          <w:p>
            <w:pPr>
              <w:pStyle w:val="EMPTY_CELL_STYLE"/>
            </w:pPr>
          </w:p>
        </w:tc>
        <w:tc>
          <w:tcPr>
            <w:gridSpan w:val="5"/>
            <w:tcBorders>
              <w:top w:val="dotted" w:sz="8" w:space="0" w:color="000000"/>
              <w:left w:val="dotted" w:sz="8" w:space="0" w:color="000000"/>
              <w:bottom w:val="dotted" w:sz="8" w:space="0" w:color="000000"/>
              <w:right w:val="dotted" w:sz="8" w:space="0" w:color="000000"/>
            </w:tcBorders>
            <w:tcMar>
              <w:top w:w="0" w:type="dxa"/>
              <w:left w:w="0" w:type="dxa"/>
              <w:bottom w:w="0" w:type="dxa"/>
              <w:right w:w="0" w:type="dxa"/>
            </w:tcMar>
            <w:vAlign w:val="top"/>
          </w:tcPr>
          <w:p>
            <w:pPr>
              <w:ind/>
              <w:jc w:val="left"/>
              <w:spacing w:lineRule="auto" w:line="360" w:after="0" w:before="0"/>
            </w:pPr>
            <w:r>
              <w:rPr>
                <w:rFonts w:ascii="仿宋" w:hAnsi="仿宋" w:eastAsia="仿宋" w:cs="仿宋"/>
                <w:color w:val="000000"/>
                <w:sz w:val="21"/>
              </w:rPr>
              <w:br/>
              <w:t xml:space="preserve"> 1. 温馨提醒：理财非存款，产品有风险，投资需谨慎！</w:t>
              <w:br/>
              <w:t xml:space="preserve"> 2. 理财信息可供参考，详情请咨询理财经理，或在“中国理财网（www.chinawealth.com.cn）”查询该产品相关信息。</w:t>
              <w:br/>
              <w:t xml:space="preserve"> 3. 兴银理财有限责任公司保留对所有文字说明的最终解释权。</w:t>
              <w:br/>
              <w:t xml:space="preserve"> 4. 投资组合情况（期末资产组合情况、杠杆比例、资产前十持仓等）详情请理财持有人登录网银后进行查询。</w:t>
              <w:br/>
            </w: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二. 产品基本情况</w:t>
            </w: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产品名称</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spacing w:lineRule="auto" w:line="240" w:after="0" w:before="0"/>
            </w:pPr>
            <w:r>
              <w:rPr>
                <w:rFonts w:ascii="宋体" w:hAnsi="宋体" w:eastAsia="宋体" w:cs="宋体"/>
                <w:color w:val="000000"/>
                <w:sz w:val="21"/>
              </w:rPr>
              <w:t xml:space="preserve">兴银理财兴承恒享开放式1号净值型理财产品</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产品代码</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9D210010</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全国银行业理财信息登记系统登记编码</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Z7002021000092</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产品运作方式</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开放式</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产品募集方式</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公募</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投资类型</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混合类</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报告期末产品份额总额</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3,127,059,521.48份</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业绩比较基准/业绩报酬计提基准</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jc w:val="left"/>
            </w:pPr>
            <w:r>
              <w:rPr>
                <w:rFonts w:ascii="宋体" w:hAnsi="宋体" w:eastAsia="宋体" w:cs="宋体"/>
                <w:color w:val="000000"/>
                <w:sz w:val="21"/>
              </w:rPr>
              <w:t xml:space="preserve">--/--</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投资币种</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人民币</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风险等级</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jc w:val="left"/>
            </w:pPr>
            <w:r>
              <w:rPr>
                <w:rFonts w:ascii="宋体" w:hAnsi="宋体" w:eastAsia="宋体" w:cs="宋体"/>
                <w:color w:val="000000"/>
                <w:sz w:val="21"/>
              </w:rPr>
              <w:t xml:space="preserve">R3</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产品管理人</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兴银理财有限责任公司</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产品托管人</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spacing w:lineRule="auto" w:line="240" w:after="0" w:before="0"/>
            </w:pPr>
            <w:r>
              <w:rPr>
                <w:rFonts w:ascii="宋体" w:hAnsi="宋体" w:eastAsia="宋体" w:cs="宋体"/>
                <w:color w:val="000000"/>
                <w:sz w:val="21"/>
              </w:rPr>
              <w:t xml:space="preserve">兴业银行股份有限公司</w:t>
            </w:r>
          </w:p>
        </w:tc>
        <w:tc>
          <w:tcPr>
     </w:tcPr>
          <w:p>
            <w:pPr>
              <w:pStyle w:val="EMPTY_CELL_STYLE"/>
            </w:pPr>
          </w:p>
        </w:tc>
      </w:tr>
      <w:tr>
        <w:trPr>
          <w:trHeight w:hRule="exact" w:val="1800"/>
        </w:trPr>
        <w:tc>
          <w:tcPr>
     </w:tcPr>
          <w:p>
            <w:pPr>
              <w:pStyle w:val="EMPTY_CELL_STYLE"/>
            </w:pPr>
          </w:p>
        </w:tc>
        <w:tc>
          <w:tcPr>
            <w:gridSpan w:val="5"/>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0" w:type="dxa"/>
              <w:right w:w="0" w:type="dxa"/>
            </w:tcMar>
          </w:tcPr>
          <w:tbl>
            <w:tblPr>
              <w:tblLayout w:type="fixed"/>
            </w:tblPr>
            <w:tblGrid>
              <w:gridCol w:w="3000"/>
              <w:gridCol w:w="3600"/>
              <w:gridCol w:w="4100"/>
            </w:tblGrid>
            <w:tr>
              <w:trPr>
                <w:trHeight w:hRule="exact" w:val="580"/>
              </w:trPr>
              <w:tc>
                <w:tcPr>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2980"/>
                    <w:gridCol w:w="20"/>
                  </w:tblGrid>
                  <w:tr>
                    <w:trPr>
                      <w:trHeight w:hRule="atLeast" w:val="580"/>
                    </w:trPr>
                    <w:tc>
                      <w:tcPr>
                        <w:tcMar>
                          <w:top w:w="0" w:type="dxa"/>
                          <w:left w:w="0" w:type="dxa"/>
                          <w:bottom w:w="0" w:type="dxa"/>
                          <w:right w:w="0" w:type="dxa"/>
                        </w:tcMar>
                        <w:vAlign w:val="center"/>
                      </w:tcPr>
                      <w:p>
                        <w:pPr>
                          <w:ind w:firstLine="0"/>
                          <w:jc w:val="center"/>
                        </w:pPr>
                        <w:r>
                          <w:rPr>
                            <w:rFonts w:ascii="宋体" w:hAnsi="宋体" w:eastAsia="宋体" w:cs="宋体"/>
                            <w:color w:val="000000"/>
                            <w:sz w:val="21"/>
                          </w:rPr>
                          <w:t xml:space="preserve">下属子份额的销售名称</w:t>
                        </w:r>
                      </w:p>
                    </w:tc>
                    <w:tc>
                      <w:tcPr>
     </w:tcPr>
                      <w:p>
                        <w:pPr>
                          <w:pStyle w:val="EMPTY_CELL_STYLE"/>
                        </w:pPr>
                      </w:p>
                    </w:tc>
                  </w:tr>
                </w:tbl>
                <w:p>
                  <w:pPr>
                    <w:pStyle w:val="EMPTY_CELL_STYLE"/>
                  </w:pPr>
                </w:p>
              </w:tc>
              <w:tc>
                <w:tcPr>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600"/>
                    <w:gridCol w:w="3600"/>
                  </w:tblGrid>
                  <w:tr>
                    <w:trPr>
                      <w:trHeight w:hRule="atLeast" w:val="580"/>
                    </w:trPr>
                    <w:tc>
                      <w:tcPr>
                        <w:tcMar>
                          <w:top w:w="0" w:type="dxa"/>
                          <w:left w:w="0" w:type="dxa"/>
                          <w:bottom w:w="0" w:type="dxa"/>
                          <w:right w:w="0" w:type="dxa"/>
                        </w:tcMar>
                        <w:vAlign w:val="center"/>
                      </w:tcPr>
                      <w:p>
                        <w:pPr>
                          <w:ind w:firstLine="200"/>
                          <w:jc w:val="center"/>
                        </w:pPr>
                        <w:r>
                          <w:rPr>
                            <w:rFonts w:ascii="宋体" w:hAnsi="宋体" w:eastAsia="宋体" w:cs="宋体"/>
                            <w:color w:val="000000"/>
                            <w:sz w:val="21"/>
                          </w:rPr>
                          <w:t xml:space="preserve">下属子份额的销售代码</w:t>
                        </w:r>
                      </w:p>
                    </w:tc>
                  </w:tr>
                </w:tbl>
                <w:p>
                  <w:pPr>
                    <w:pStyle w:val="EMPTY_CELL_STYLE"/>
                  </w:pPr>
                </w:p>
              </w:tc>
              <w:tc>
                <w:tcPr>
                  <w:tcBorders>
                    <w:top w:val="single" w:sz="2" w:space="0" w:color="000000"/>
                    <w:left w:val="single" w:sz="2" w:space="0" w:color="000000"/>
                    <w:bottom w:val="single" w:sz="2" w:space="0" w:color="000000"/>
                  </w:tcBorders>
                  <w:tcMar>
                    <w:top w:w="0" w:type="dxa"/>
                    <w:left w:w="0" w:type="dxa"/>
                    <w:bottom w:w="20" w:type="dxa"/>
                    <w:right w:w="0" w:type="dxa"/>
                  </w:tcMar>
                </w:tcPr>
                <w:tbl>
                  <w:tblPr>
                    <w:tblLayout w:type="fixed"/>
                  </w:tblPr>
                  <w:tblGrid>
                    <w:gridCol w:w="4100"/>
                    <w:gridCol w:w="4100"/>
                  </w:tblGrid>
                  <w:tr>
                    <w:trPr>
                      <w:trHeight w:hRule="atLeast" w:val="580"/>
                    </w:trPr>
                    <w:tc>
                      <w:tcPr>
                        <w:tcMar>
                          <w:top w:w="0" w:type="dxa"/>
                          <w:left w:w="0" w:type="dxa"/>
                          <w:bottom w:w="0" w:type="dxa"/>
                          <w:right w:w="20" w:type="dxa"/>
                        </w:tcMar>
                        <w:vAlign w:val="center"/>
                      </w:tcPr>
                      <w:p>
                        <w:pPr>
                          <w:ind w:firstLine="200"/>
                          <w:jc w:val="center"/>
                        </w:pPr>
                        <w:r>
                          <w:rPr>
                            <w:rFonts w:ascii="宋体" w:hAnsi="宋体" w:eastAsia="宋体" w:cs="宋体"/>
                            <w:color w:val="000000"/>
                            <w:sz w:val="21"/>
                          </w:rPr>
                          <w:t xml:space="preserve">报告期末下属子份额的产品份额总数</w:t>
                        </w:r>
                      </w:p>
                    </w:tc>
                  </w:tr>
                </w:tbl>
                <w:p>
                  <w:pPr>
                    <w:pStyle w:val="EMPTY_CELL_STYLE"/>
                  </w:pPr>
                </w:p>
              </w:tc>
            </w:tr>
            <w:tr>
              <w:trPr>
                <w:trHeight w:hRule="exact" w:val="580"/>
              </w:trPr>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000"/>
                    <w:gridCol w:w="3000"/>
                  </w:tblGrid>
                  <w:tr>
                    <w:trPr>
                      <w:trHeight w:hRule="atLeast" w:val="560"/>
                    </w:trPr>
                    <w:tc>
                      <w:tcPr>
                        <w:tcMar>
                          <w:top w:w="0" w:type="dxa"/>
                          <w:left w:w="0" w:type="dxa"/>
                          <w:bottom w:w="20" w:type="dxa"/>
                          <w:right w:w="0" w:type="dxa"/>
                        </w:tcMar>
                        <w:vAlign w:val="center"/>
                      </w:tcPr>
                      <w:p>
                        <w:pPr>
                          <w:ind w:firstLine="0"/>
                          <w:jc w:val="center"/>
                        </w:pPr>
                        <w:r>
                          <w:rPr>
                            <w:rFonts w:ascii="宋体" w:hAnsi="宋体" w:eastAsia="宋体" w:cs="宋体"/>
                            <w:color w:val="000000"/>
                            <w:sz w:val="21"/>
                          </w:rPr>
                          <w:t xml:space="preserve">兴银兴承恒享1号开放式A</w:t>
                        </w:r>
                      </w:p>
                    </w:tc>
                  </w:tr>
                </w:tbl>
                <w:p>
                  <w:pPr>
                    <w:pStyle w:val="EMPTY_CELL_STYLE"/>
                  </w:pPr>
                </w:p>
              </w:tc>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600"/>
                    <w:gridCol w:w="36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9D21001A</w:t>
                        </w:r>
                      </w:p>
                    </w:tc>
                  </w:tr>
                </w:tbl>
                <w:p>
                  <w:pPr>
                    <w:pStyle w:val="EMPTY_CELL_STYLE"/>
                  </w:pPr>
                </w:p>
              </w:tc>
              <w:tc>
                <w:tcPr>
                  <w:shd w:val="clear" w:color="auto" w:fill="FFFFFF"/>
                  <w:tcBorders>
                    <w:top w:val="single" w:sz="2" w:space="0" w:color="000000"/>
                    <w:left w:val="single" w:sz="2" w:space="0" w:color="000000"/>
                    <w:bottom w:val="single" w:sz="2" w:space="0" w:color="000000"/>
                  </w:tcBorders>
                  <w:tcMar>
                    <w:top w:w="0" w:type="dxa"/>
                    <w:left w:w="0" w:type="dxa"/>
                    <w:bottom w:w="20" w:type="dxa"/>
                    <w:right w:w="0" w:type="dxa"/>
                  </w:tcMar>
                </w:tcPr>
                <w:tbl>
                  <w:tblPr>
                    <w:tblLayout w:type="fixed"/>
                  </w:tblPr>
                  <w:tblGrid>
                    <w:gridCol w:w="4100"/>
                    <w:gridCol w:w="41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1,490,758,585.54</w:t>
                        </w:r>
                      </w:p>
                    </w:tc>
                  </w:tr>
                </w:tbl>
                <w:p>
                  <w:pPr>
                    <w:pStyle w:val="EMPTY_CELL_STYLE"/>
                  </w:pPr>
                </w:p>
              </w:tc>
            </w:tr>
            <w:tr>
              <w:trPr>
                <w:trHeight w:hRule="exact" w:val="580"/>
              </w:trPr>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000"/>
                    <w:gridCol w:w="3000"/>
                  </w:tblGrid>
                  <w:tr>
                    <w:trPr>
                      <w:trHeight w:hRule="atLeast" w:val="560"/>
                    </w:trPr>
                    <w:tc>
                      <w:tcPr>
                        <w:tcMar>
                          <w:top w:w="0" w:type="dxa"/>
                          <w:left w:w="0" w:type="dxa"/>
                          <w:bottom w:w="20" w:type="dxa"/>
                          <w:right w:w="0" w:type="dxa"/>
                        </w:tcMar>
                        <w:vAlign w:val="center"/>
                      </w:tcPr>
                      <w:p>
                        <w:pPr>
                          <w:ind w:firstLine="0"/>
                          <w:jc w:val="center"/>
                        </w:pPr>
                        <w:r>
                          <w:rPr>
                            <w:rFonts w:ascii="宋体" w:hAnsi="宋体" w:eastAsia="宋体" w:cs="宋体"/>
                            <w:color w:val="000000"/>
                            <w:sz w:val="21"/>
                          </w:rPr>
                          <w:t xml:space="preserve">兴银兴承恒享1号开放式B</w:t>
                        </w:r>
                      </w:p>
                    </w:tc>
                  </w:tr>
                </w:tbl>
                <w:p>
                  <w:pPr>
                    <w:pStyle w:val="EMPTY_CELL_STYLE"/>
                  </w:pPr>
                </w:p>
              </w:tc>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600"/>
                    <w:gridCol w:w="36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9D21001B</w:t>
                        </w:r>
                      </w:p>
                    </w:tc>
                  </w:tr>
                </w:tbl>
                <w:p>
                  <w:pPr>
                    <w:pStyle w:val="EMPTY_CELL_STYLE"/>
                  </w:pPr>
                </w:p>
              </w:tc>
              <w:tc>
                <w:tcPr>
                  <w:shd w:val="clear" w:color="auto" w:fill="FFFFFF"/>
                  <w:tcBorders>
                    <w:top w:val="single" w:sz="2" w:space="0" w:color="000000"/>
                    <w:left w:val="single" w:sz="2" w:space="0" w:color="000000"/>
                    <w:bottom w:val="single" w:sz="2" w:space="0" w:color="000000"/>
                  </w:tcBorders>
                  <w:tcMar>
                    <w:top w:w="0" w:type="dxa"/>
                    <w:left w:w="0" w:type="dxa"/>
                    <w:bottom w:w="20" w:type="dxa"/>
                    <w:right w:w="0" w:type="dxa"/>
                  </w:tcMar>
                </w:tcPr>
                <w:tbl>
                  <w:tblPr>
                    <w:tblLayout w:type="fixed"/>
                  </w:tblPr>
                  <w:tblGrid>
                    <w:gridCol w:w="4100"/>
                    <w:gridCol w:w="41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1,636,300,935.94</w:t>
                        </w:r>
                      </w:p>
                    </w:tc>
                  </w:tr>
                </w:tbl>
                <w:p>
                  <w:pPr>
                    <w:pStyle w:val="EMPTY_CELL_STYLE"/>
                  </w:pPr>
                </w:p>
              </w:tc>
            </w:tr>
          </w:tbl>
          <w:p>
            <w:pPr>
              <w:pStyle w:val="EMPTY_CELL_STYLE"/>
            </w:pPr>
          </w:p>
        </w:tc>
        <w:tc>
          <w:tcPr>
     </w:tcPr>
          <w:p>
            <w:pPr>
              <w:pStyle w:val="EMPTY_CELL_STYLE"/>
            </w:pPr>
          </w:p>
        </w:tc>
      </w:tr>
      <w:tr>
        <w:trPr>
          <w:trHeight w:hRule="exact" w:val="11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3/</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8</w:t>
            </w:r>
          </w:p>
        </w:tc>
        <w:tc>
          <w:tcPr>
     </w:tcPr>
          <w:p>
            <w:pPr>
              <w:pStyle w:val="EMPTY_CELL_STYLE"/>
            </w:pPr>
          </w:p>
        </w:tc>
        <w:tc>
          <w:tcPr>
     </w:tcPr>
          <w:p>
            <w:pPr>
              <w:pStyle w:val="EMPTY_CELL_STYLE"/>
            </w:pPr>
          </w:p>
        </w:tc>
      </w:tr>
    </w:tbl>
    <w:tbl>
      <w:tblPr>
        <w:tblLayout w:type="fixed"/>
      </w:tblPr>
      <w:tblGrid>
        <w:gridCol w:w="1"/>
        <w:gridCol w:w="40"/>
        <w:gridCol w:w="3360"/>
        <w:gridCol w:w="2000"/>
        <w:gridCol w:w="2000"/>
        <w:gridCol w:w="2840"/>
        <w:gridCol w:w="460"/>
        <w:gridCol w:w="40"/>
        <w:gridCol w:w="1"/>
      </w:tblGrid>
      <w:tr>
        <w:trPr>
          <w:trHeight w:hRule="exact" w:val="0"/>
        </w:trPr>
        <w:tc>
          <w:tcPr>
     </w:tcPr>
          <w:p>
            <w:pPr>
              <w:pStyle w:val="EMPTY_CELL_STYLE"/>
              <w:pageBreakBefore/>
            </w:pPr>
            <w:bookmarkStart w:id="3" w:name="JR_PAGE_ANCHOR_0_4"/>
            <w:bookmarkEnd w:id="3"/>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兴银理财兴承恒享开放式1号净值型理财产品2022年年度报告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三. 产品收益表现</w:t>
            </w:r>
          </w:p>
        </w:tc>
        <w:tc>
          <w:tcPr>
     </w:tcPr>
          <w:p>
            <w:pPr>
              <w:pStyle w:val="EMPTY_CELL_STYLE"/>
            </w:pP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9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firstLine="0"/>
              <w:jc w:val="left"/>
              <w:spacing w:lineRule="exact" w:line="320" w:after="0" w:before="0"/>
            </w:pPr>
            <w:r>
              <w:rPr>
                <w:rFonts w:ascii="宋体" w:hAnsi="宋体" w:eastAsia="宋体" w:cs="宋体"/>
                <w:color w:val="000000"/>
                <w:sz w:val="21"/>
              </w:rPr>
              <w:t xml:space="preserve">产品9D21001A自成立日以来，累计净值增长率为-3.7870%，年化累计净值增长率为-2.3076%。</w:t>
              <w:br/>
              <w:t xml:space="preserve">产品9D21001B自成立日以来，累计净值增长率为-3.4790%，年化累计净值增长率为-2.1199%。</w:t>
              <w:br/>
              <w:t xml:space="preserve">报告期末，产品净值表现具体如下：</w:t>
            </w:r>
          </w:p>
        </w:tc>
        <w:tc>
          <w:tcPr>
     </w:tcPr>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1200"/>
        </w:trPr>
        <w:tc>
          <w:tcPr>
     </w:tcPr>
          <w:p>
            <w:pPr>
              <w:pStyle w:val="EMPTY_CELL_STYLE"/>
            </w:pPr>
          </w:p>
        </w:tc>
        <w:tc>
          <w:tcPr>
     </w:tcPr>
          <w:p>
            <w:pPr>
              <w:pStyle w:val="EMPTY_CELL_STYLE"/>
            </w:pPr>
          </w:p>
        </w:tc>
        <w:tc>
          <w:tcPr>
            <w:gridSpan w:val="6"/>
            <w:tcMar>
              <w:top w:w="0" w:type="dxa"/>
              <w:left w:w="0" w:type="dxa"/>
              <w:bottom w:w="0" w:type="dxa"/>
              <w:right w:w="0" w:type="dxa"/>
            </w:tcMar>
          </w:tcPr>
          <w:tbl>
            <w:tblPr>
              <w:tblLayout w:type="fixed"/>
            </w:tblPr>
            <w:tblGrid>
              <w:gridCol w:w="1800"/>
              <w:gridCol w:w="2000"/>
              <w:gridCol w:w="2400"/>
              <w:gridCol w:w="2200"/>
              <w:gridCol w:w="23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估值日期</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产品份额净值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产品累计净值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产品资产净值</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9D210010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2022年12月31日</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0.96374</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0.96374</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3,013,666,900.88</w:t>
                        </w:r>
                      </w:p>
                    </w:tc>
                  </w:tr>
                </w:tbl>
                <w:p>
                  <w:pPr>
                    <w:pStyle w:val="EMPTY_CELL_STYLE"/>
                  </w:pPr>
                </w:p>
              </w:tc>
            </w:tr>
          </w:tbl>
          <w:p>
            <w:pPr>
              <w:pStyle w:val="EMPTY_CELL_STYLE"/>
            </w:pPr>
          </w:p>
        </w:tc>
        <w:tc>
          <w:tcPr>
     </w:tcPr>
          <w:p>
            <w:pPr>
              <w:pStyle w:val="EMPTY_CELL_STYLE"/>
            </w:pPr>
          </w:p>
        </w:tc>
      </w:tr>
      <w:tr>
        <w:trPr>
          <w:trHeight w:hRule="exact" w:val="1800"/>
        </w:trPr>
        <w:tc>
          <w:tcPr>
     </w:tcPr>
          <w:p>
            <w:pPr>
              <w:pStyle w:val="EMPTY_CELL_STYLE"/>
            </w:pPr>
          </w:p>
        </w:tc>
        <w:tc>
          <w:tcPr>
     </w:tcPr>
          <w:p>
            <w:pPr>
              <w:pStyle w:val="EMPTY_CELL_STYLE"/>
            </w:pPr>
          </w:p>
        </w:tc>
        <w:tc>
          <w:tcPr>
            <w:gridSpan w:val="6"/>
            <w:tcMar>
              <w:top w:w="0" w:type="dxa"/>
              <w:left w:w="0" w:type="dxa"/>
              <w:bottom w:w="0" w:type="dxa"/>
              <w:right w:w="0" w:type="dxa"/>
            </w:tcMar>
          </w:tcPr>
          <w:tbl>
            <w:tblPr>
              <w:tblLayout w:type="fixed"/>
            </w:tblPr>
            <w:tblGrid>
              <w:gridCol w:w="1800"/>
              <w:gridCol w:w="2000"/>
              <w:gridCol w:w="2400"/>
              <w:gridCol w:w="2200"/>
              <w:gridCol w:w="23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销售代码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估值日期</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产品份额净值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产品累计净值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产品资产净值</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9D21001A</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2022年12月31日</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0.96213</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0.96213</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1,434,299,159.71</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9D21001B</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2022年12月31日</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0.96521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0.96521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1,579,367,741.17</w:t>
                        </w:r>
                      </w:p>
                    </w:tc>
                  </w:tr>
                </w:tbl>
                <w:p>
                  <w:pPr>
                    <w:pStyle w:val="EMPTY_CELL_STYLE"/>
                  </w:pPr>
                </w:p>
              </w:tc>
            </w:tr>
          </w:tbl>
          <w:p>
            <w:pPr>
              <w:pStyle w:val="EMPTY_CELL_STYLE"/>
            </w:pPr>
          </w:p>
        </w:tc>
        <w:tc>
          <w:tcPr>
     </w:tcPr>
          <w:p>
            <w:pPr>
              <w:pStyle w:val="EMPTY_CELL_STYLE"/>
            </w:pPr>
          </w:p>
        </w:tc>
      </w:tr>
      <w:tr>
        <w:trPr>
          <w:trHeight w:hRule="exact" w:val="5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四. 产品投资经理简介</w:t>
            </w:r>
          </w:p>
        </w:tc>
        <w:tc>
          <w:tcPr>
     </w:tcPr>
          <w:p>
            <w:pPr>
              <w:pStyle w:val="EMPTY_CELL_STYLE"/>
            </w:pPr>
          </w:p>
        </w:tc>
        <w:tc>
          <w:tcPr>
     </w:tcPr>
          <w:p>
            <w:pPr>
              <w:pStyle w:val="EMPTY_CELL_STYLE"/>
            </w:pPr>
          </w:p>
        </w:tc>
      </w:tr>
      <w:tr>
        <w:trPr>
          <w:trHeight w:hRule="exact" w:val="4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1900"/>
        </w:trPr>
        <w:tc>
          <w:tcPr>
     </w:tcPr>
          <w:p>
            <w:pPr>
              <w:pStyle w:val="EMPTY_CELL_STYLE"/>
            </w:pPr>
          </w:p>
        </w:tc>
        <w:tc>
          <w:tcPr>
            <w:gridSpan w:val="6"/>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吕承应女士，北京大学统计学学士、经济学双学士，北京大学经济学硕士、新加坡国立大学金融工程硕士，2017年加入兴业银行，具有5年FOF/MOM投资研究经验。现任兴银理财权益投资经理。</w:t>
              <w:br/>
              <w:t xml:space="preserve">    吕雯丽女士，复旦大学财务管理学士、金融硕士，7年债券投资研究经验，曾任华安基金管理有限公司信用研究员，于2019年加入兴银理财有限责任公司，现任兴银理财债券投资经理，主要负责纯债和股债混合产品投资管理工作。追求持续稳定回报，在保证流动性和安全性的前提下，兼顾收益性，擅长通过基本面研究、信用研究和主动管理获取超额收益。</w:t>
            </w:r>
          </w:p>
        </w:tc>
        <w:tc>
          <w:tcPr>
     </w:tcPr>
          <w:p>
            <w:pPr>
              <w:pStyle w:val="EMPTY_CELL_STYLE"/>
            </w:pPr>
          </w:p>
        </w:tc>
        <w:tc>
          <w:tcPr>
     </w:tcPr>
          <w:p>
            <w:pPr>
              <w:pStyle w:val="EMPTY_CELL_STYLE"/>
            </w:pPr>
          </w:p>
        </w:tc>
      </w:tr>
      <w:tr>
        <w:trPr>
          <w:trHeight w:hRule="exact" w:val="7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五. 报告期内产品的投资策略和运作分析</w:t>
            </w:r>
          </w:p>
        </w:tc>
        <w:tc>
          <w:tcPr>
     </w:tcPr>
          <w:p>
            <w:pPr>
              <w:pStyle w:val="EMPTY_CELL_STYLE"/>
            </w:pPr>
          </w:p>
        </w:tc>
        <w:tc>
          <w:tcPr>
     </w:tcPr>
          <w:p>
            <w:pPr>
              <w:pStyle w:val="EMPTY_CELL_STYLE"/>
            </w:pPr>
          </w:p>
        </w:tc>
      </w:tr>
      <w:tr>
        <w:trPr>
          <w:trHeight w:hRule="exact" w:val="4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80"/>
        </w:trPr>
        <w:tc>
          <w:tcPr>
     </w:tcPr>
          <w:p>
            <w:pPr>
              <w:pStyle w:val="EMPTY_CELL_STYLE"/>
            </w:pPr>
          </w:p>
        </w:tc>
        <w:tc>
          <w:tcPr>
            <w:gridSpan w:val="6"/>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固收方面：</w:t>
              <w:br/>
              <w:t xml:space="preserve">一、2022年投资策略与运作回顾</w:t>
              <w:br/>
              <w:t xml:space="preserve">    2022年全年债券市场收益率整体上行。其中，1-8月债市利率震荡下行，10年国债利率从2021年末的2.78%，下行至了2022年8月下旬的2.58%，累计下行了20bp，其中利率上半年震荡为主，利率中枢在2.78%附近；信用则自3月以来持续下行，实现了信用利差的大幅压缩。11月以来，在地产政策不断出台叠加疫情政策放开的影响下，利率快速回升，11月单月10年国债上行22bp，3年AA+城投上行64bp，利差迅速走阔；12月以来，市场进入第二轮负反馈，本轮负反馈的主要冲击来自12月打开的定开型产品的赎回，在利率和存单已经跌幅收窄的情况下，信用和二永仍保持较深的下跌幅度。全年来看，10年国债上行6bp，同业存单下行18bp，3年AAA中票上行26bp，3年AA+中票上行44bp。</w:t>
              <w:br/>
              <w:t xml:space="preserve">    产品运作方面，前三季度主要在震荡市场行情下，对产品组合久期、券种择机进行积极调仓操作。其中三季度，整体加大了对久期策略的运用，7-8月中旬稳步提升产品平均久期，并在9月后逐步换仓止盈。在券种具体操作方面，主要跟踪利差的变动，进行积极调仓，从信用利差、期限利差等多角度为组合增厚投资收益。四季度，考虑</w:t>
            </w: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4/</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8</w:t>
            </w:r>
          </w:p>
        </w:tc>
        <w:tc>
          <w:tcPr>
     </w:tcPr>
          <w:p>
            <w:pPr>
              <w:pStyle w:val="EMPTY_CELL_STYLE"/>
            </w:pP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20"/>
        <w:gridCol w:w="3380"/>
        <w:gridCol w:w="2000"/>
        <w:gridCol w:w="2000"/>
        <w:gridCol w:w="3300"/>
        <w:gridCol w:w="20"/>
        <w:gridCol w:w="1"/>
      </w:tblGrid>
      <w:tr>
        <w:trPr>
          <w:trHeight w:hRule="exact" w:val="0"/>
        </w:trPr>
        <w:tc>
          <w:tcPr>
     </w:tcPr>
          <w:p>
            <w:pPr>
              <w:pStyle w:val="EMPTY_CELL_STYLE"/>
              <w:pageBreakBefore/>
            </w:pPr>
            <w:bookmarkStart w:id="4" w:name="JR_PAGE_ANCHOR_0_5"/>
            <w:bookmarkEnd w:id="4"/>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兴银理财兴承恒享开放式1号净值型理财产品2022年年度报告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5"/>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atLeast" w:val="9600"/>
        </w:trPr>
        <w:tc>
          <w:tcPr>
     </w:tcPr>
          <w:p>
            <w:pPr>
              <w:pStyle w:val="EMPTY_CELL_STYLE"/>
            </w:pPr>
          </w:p>
        </w:tc>
        <w:tc>
          <w:tcPr>
            <w:gridSpan w:val="5"/>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到边际抬升的资金利率、疫情、地产政策的边际变化，整体采取了防守的投资策略，尤其在10月后逐步做了减仓。在具体操作方面，主要从相对增配低波资产、减持债券资产等角度进行积极调仓，为组合平衡收益与流动性。</w:t>
              <w:br/>
              <w:t xml:space="preserve">二、2023一季度投资策略展望</w:t>
              <w:br/>
              <w:t xml:space="preserve">    2022年至今，国内流动性保持宽松，债券跑赢除商品外的大部分大类资产，获得更加稳健回报。2023年国内是稳增长大年，政策发力明确，但受制于房住不炒、地方严控隐性债务等约束，并不像以往周期那么容易刺激经济回升，地产和城投平台不再像以往周期那样融资需求积极扩张，叠加疫情冲击，在经济下行压力仍大、债券票息配置价值凸显的背景下，债券利率不具备继续大幅上行风险，全年不具有熊市的基本面基础。从绝对收益和利差角度来看，目前各期限债券和前期相比已具有一定的投资价值，当市场情绪渐稳后，存在一定的超调配置机会。下阶段总体策略：防守策略为主，看好高等级信用债票息和杠杆策略，以及金融机构债的投资机会，在波动中提高组合静态收益，兼顾产品流动性。</w:t>
              <w:br/>
              <w:t xml:space="preserve">权益方面：</w:t>
              <w:br/>
              <w:t xml:space="preserve">    2022年在宏观方面，国内地产数据持续不振，宏观经济下行压力较大，海外流动性收缩，资源品价格居高不下，通胀压力不断增大。加上A股市场，近两年赛道基金发行多，赛道估值较高。伴随黑天鹅事件，市场波动率显著加大，大宗商品价格大涨，各国股市普遍出现显著下跌，A股市场风险偏好进一步下行。受疫情反复影响，4月市场持续下跌。4月末政策释放利好，市场企稳，进入反弹。5-6月叠加流动性宽松，前期跌幅较深的以汽车零部件、新能源汽车等板块反弹较多。7月开始市场进入震荡下行，国内地产数据仍有压力，宏观经济恢复仍待观察，同时疫情反复、防控政策总体仍较严，对经济生活造成明显影响。同时海外局部战争仍未结束，通胀压力持续。10月以来权益市场出现结构性行情，计算机与医药由于产业政策利好首先出现估值修复，10月底开始港股、消费、地产与地产链受益于产业政策利好与疫情管控放松的预期出现反弹。11月底上市国企出现一波估值修复，整体权益市场出现明显轮动特征。12月市场围绕复苏与抗疫轮动，但整体情绪偏弱，风格偏消费和大盘蓝筹。2023年以来随着疫情影响高峰逐渐过去，高频数据显示经济活动正在修复，当前市场在反弹之后整体估值仍不高，A股仍处于较好的布局期。</w:t>
              <w:br/>
              <w:t xml:space="preserve">    中长期看，A股市场的收益率还是来自国内自身的经济发展动力以及企业自身的盈利水平，重点关注受益经济修复和政策支持且对政策敏感性较高的领域。随着2022年业绩预告和快报披露，持续关注业绩超预期或环比明显改善的高景气领域。对于基本面面临拐点并逐渐触底回升的板块也加大关注力度。特别地，将保持对业绩景气度有望维持高位且前期调整相对充分的新能源板块、疫后复苏确定性较高的消费板块、政策方向明确的数字经济及高端制造板块、持续受益于政策支持预期向好的地产产业链的紧密跟踪。</w:t>
              <w:br/>
              <w:t xml:space="preserve">    组合操作上，当前位置维持相对均衡的结构为主，兼顾港股、稳增长、成长、制造及消费医药中的优质资产。持续在管理人库里优中选优，重点配置注重基本面跟踪、公司深度研究能力较强以及选股和交易重视安全边际的管理人。保持中枢权益仓位运作，同时结合估值情况与景气变化做部分板块的高低切换。</w:t>
            </w:r>
          </w:p>
        </w:tc>
        <w:tc>
          <w:tcPr>
     </w:tcPr>
          <w:p>
            <w:pPr>
              <w:pStyle w:val="EMPTY_CELL_STYLE"/>
            </w:pPr>
          </w:p>
        </w:tc>
        <w:tc>
          <w:tcPr>
     </w:tcPr>
          <w:p>
            <w:pPr>
              <w:pStyle w:val="EMPTY_CELL_STYLE"/>
            </w:pPr>
          </w:p>
        </w:tc>
      </w:tr>
      <w:tr>
        <w:trPr>
          <w:trHeight w:hRule="exact" w:val="5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六. 理财托管机构报告</w:t>
            </w:r>
          </w:p>
        </w:tc>
        <w:tc>
          <w:tcPr>
     </w:tcPr>
          <w:p>
            <w:pPr>
              <w:pStyle w:val="EMPTY_CELL_STYLE"/>
            </w:pPr>
          </w:p>
        </w:tc>
        <w:tc>
          <w:tcPr>
     </w:tcPr>
          <w:p>
            <w:pPr>
              <w:pStyle w:val="EMPTY_CELL_STYLE"/>
            </w:pPr>
          </w:p>
        </w:tc>
      </w:tr>
      <w:tr>
        <w:trPr>
          <w:trHeight w:hRule="exact" w:val="4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3000"/>
        </w:trPr>
        <w:tc>
          <w:tcPr>
     </w:tcPr>
          <w:p>
            <w:pPr>
              <w:pStyle w:val="EMPTY_CELL_STYLE"/>
            </w:pPr>
          </w:p>
        </w:tc>
        <w:tc>
          <w:tcPr>
     </w:tcPr>
          <w:p>
            <w:pPr>
              <w:pStyle w:val="EMPTY_CELL_STYLE"/>
            </w:pPr>
          </w:p>
        </w:tc>
        <w:tc>
          <w:tcPr>
            <w:gridSpan w:val="5"/>
            <w:tcMar>
              <w:top w:w="0" w:type="dxa"/>
              <w:left w:w="0" w:type="dxa"/>
              <w:bottom w:w="0" w:type="dxa"/>
              <w:right w:w="0" w:type="dxa"/>
            </w:tcMar>
            <w:vAlign w:val="top"/>
          </w:tcPr>
          <w:p>
            <w:pPr>
              <w:ind/>
              <w:jc w:val="left"/>
              <w:spacing w:lineRule="exact" w:line="320" w:after="0" w:before="0"/>
            </w:pPr>
            <w:r>
              <w:rPr>
                <w:rFonts w:ascii="宋体" w:hAnsi="宋体" w:eastAsia="宋体" w:cs="宋体"/>
                <w:color w:val="000000"/>
                <w:sz w:val="21"/>
              </w:rPr>
              <w:br/>
              <w:t xml:space="preserve">    报告期内，托管人严格遵守《商业银行理财业务监督管理办法》及相关法律法规规定、理财产品托管协议约定，诚实信用、谨慎勤勉地履行了托管人义务，不存在损害理财产品投资者利益的行为。</w:t>
              <w:br/>
              <w:t xml:space="preserve">    报告期内，托管人根据国家有关法律法规规定、理财产品托管协议的约定，对管理人在本理财产品的投资运作、资产净值的计算、收益的计算、理财产品费用开支等方面进行了必要的监督、复核和审查，未发现其存在任何损害本理财产品投资者利益的行为。</w:t>
              <w:br/>
              <w:t xml:space="preserve">    托管人认真复核了本报告中的净值表现、投资组合报告等内容，认为其真实、准确和完整，不存在虚假记载、误导性陈述或者重大遗漏。</w:t>
              <w:br/>
            </w:r>
          </w:p>
        </w:tc>
        <w:tc>
          <w:tcPr>
     </w:tcPr>
          <w:p>
            <w:pPr>
              <w:pStyle w:val="EMPTY_CELL_STYLE"/>
            </w:pPr>
          </w:p>
        </w:tc>
      </w:tr>
      <w:tr>
        <w:trPr>
          <w:trHeight w:hRule="exact" w:val="5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5/</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8</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20"/>
        <w:gridCol w:w="3380"/>
        <w:gridCol w:w="2000"/>
        <w:gridCol w:w="2000"/>
        <w:gridCol w:w="3300"/>
        <w:gridCol w:w="20"/>
        <w:gridCol w:w="1"/>
      </w:tblGrid>
      <w:tr>
        <w:trPr>
          <w:trHeight w:hRule="exact" w:val="0"/>
        </w:trPr>
        <w:tc>
          <w:tcPr>
     </w:tcPr>
          <w:p>
            <w:pPr>
              <w:pStyle w:val="EMPTY_CELL_STYLE"/>
              <w:pageBreakBefore/>
            </w:pPr>
            <w:bookmarkStart w:id="5" w:name="JR_PAGE_ANCHOR_0_6"/>
            <w:bookmarkEnd w:id="5"/>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兴银理财兴承恒享开放式1号净值型理财产品2022年年度报告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5"/>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七. 审计报告</w:t>
            </w:r>
          </w:p>
        </w:tc>
        <w:tc>
          <w:tcPr>
     </w:tcPr>
          <w:p>
            <w:pPr>
              <w:pStyle w:val="EMPTY_CELL_STYLE"/>
            </w:pPr>
          </w:p>
        </w:tc>
        <w:tc>
          <w:tcPr>
     </w:tcPr>
          <w:p>
            <w:pPr>
              <w:pStyle w:val="EMPTY_CELL_STYLE"/>
            </w:pPr>
          </w:p>
        </w:tc>
      </w:tr>
      <w:tr>
        <w:trPr>
          <w:trHeight w:hRule="exact" w:val="4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1480"/>
        </w:trPr>
        <w:tc>
          <w:tcPr>
     </w:tcPr>
          <w:p>
            <w:pPr>
              <w:pStyle w:val="EMPTY_CELL_STYLE"/>
            </w:pPr>
          </w:p>
        </w:tc>
        <w:tc>
          <w:tcPr>
            <w:gridSpan w:val="5"/>
            <w:tcMar>
              <w:top w:w="0" w:type="dxa"/>
              <w:left w:w="0" w:type="dxa"/>
              <w:bottom w:w="0" w:type="dxa"/>
              <w:right w:w="0" w:type="dxa"/>
            </w:tcMar>
            <w:vAlign w:val="center"/>
          </w:tcPr>
          <w:p>
            <w:pPr>
              <w:ind/>
              <w:jc w:val="left"/>
              <w:spacing w:lineRule="exact" w:line="320" w:after="0" w:before="0"/>
            </w:pPr>
            <w:r>
              <w:rPr>
                <w:rFonts w:ascii="宋体" w:hAnsi="宋体" w:eastAsia="宋体" w:cs="宋体"/>
                <w:color w:val="000000"/>
                <w:sz w:val="21"/>
              </w:rPr>
              <w:br/>
              <w:t xml:space="preserve">    本产品聘请毕马威会计师事务所（特殊普通合伙）上海分所依据中国注册会计师审计准则对本产品的财务报表，包括2022年12月31日的资产负债表，2022年度的利润表和理财产品净值变动表以及相关财务报表附注进行了审计，并出具审计报告。</w:t>
            </w:r>
          </w:p>
        </w:tc>
        <w:tc>
          <w:tcPr>
     </w:tcPr>
          <w:p>
            <w:pPr>
              <w:pStyle w:val="EMPTY_CELL_STYLE"/>
            </w:pP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八. 投资组合情况</w:t>
            </w: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5"/>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1.报告期末产品资产组合情况</w:t>
            </w:r>
          </w:p>
        </w:tc>
        <w:tc>
          <w:tcPr>
     </w:tcPr>
          <w:p>
            <w:pPr>
              <w:pStyle w:val="EMPTY_CELL_STYLE"/>
            </w:pPr>
          </w:p>
        </w:tc>
      </w:tr>
      <w:tr>
        <w:trPr>
          <w:trHeight w:hRule="exact" w:val="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4200"/>
        </w:trPr>
        <w:tc>
          <w:tcPr>
     </w:tcPr>
          <w:p>
            <w:pPr>
              <w:pStyle w:val="EMPTY_CELL_STYLE"/>
            </w:pPr>
          </w:p>
        </w:tc>
        <w:tc>
          <w:tcPr>
     </w:tcPr>
          <w:p>
            <w:pPr>
              <w:pStyle w:val="EMPTY_CELL_STYLE"/>
            </w:pPr>
          </w:p>
        </w:tc>
        <w:tc>
          <w:tcPr>
            <w:gridSpan w:val="5"/>
            <w:shd w:val="clear" w:color="auto" w:fill="FFFFFF"/>
            <w:tcMar>
              <w:top w:w="0" w:type="dxa"/>
              <w:left w:w="0" w:type="dxa"/>
              <w:bottom w:w="0" w:type="dxa"/>
              <w:right w:w="0" w:type="dxa"/>
            </w:tcMar>
          </w:tcPr>
          <w:tbl>
            <w:tblPr>
              <w:tblLayout w:type="fixed"/>
            </w:tblPr>
            <w:tblGrid>
              <w:gridCol w:w="1000"/>
              <w:gridCol w:w="2600"/>
              <w:gridCol w:w="3600"/>
              <w:gridCol w:w="3500"/>
            </w:tblGrid>
            <w:tr>
              <w:trPr>
                <w:trHeight w:hRule="exact" w:val="60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资产类型</w:t>
                        </w:r>
                      </w:p>
                    </w:tc>
                  </w:tr>
                </w:tbl>
                <w:p>
                  <w:pPr>
                    <w:pStyle w:val="EMPTY_CELL_STYLE"/>
                  </w:pPr>
                </w:p>
              </w:tc>
              <w:tc>
                <w:tcPr>
                  <w:shd w:val="clear" w:color="auto" w:fill="FFFFFF"/>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直接投资占产品总资产的比例（%）</w:t>
                        </w:r>
                      </w:p>
                    </w:tc>
                  </w:tr>
                </w:tbl>
                <w:p>
                  <w:pPr>
                    <w:pStyle w:val="EMPTY_CELL_STYLE"/>
                  </w:pPr>
                </w:p>
              </w:tc>
              <w:tc>
                <w:tcPr>
                  <w:shd w:val="clear" w:color="auto" w:fill="F0F8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间接投资占产品总资产的比例（%）</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现金及存款</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2.44</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买入返售金融资产</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11.93</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债券投资</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51.77</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权益投资</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5.02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公募基金</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28.84</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总计</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w:t>
                        </w:r>
                      </w:p>
                    </w:tc>
                  </w:tr>
                </w:tbl>
                <w:p>
                  <w:pPr>
                    <w:pStyle w:val="EMPTY_CELL_STYLE"/>
                  </w:pPr>
                </w:p>
              </w:tc>
            </w:tr>
          </w:tbl>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2.报告期末杠杆融资情况</w:t>
            </w:r>
          </w:p>
        </w:tc>
        <w:tc>
          <w:tcPr>
     </w:tcPr>
          <w:p>
            <w:pPr>
              <w:pStyle w:val="EMPTY_CELL_STYLE"/>
            </w:pPr>
          </w:p>
        </w:tc>
        <w:tc>
          <w:tcPr>
     </w:tcPr>
          <w:p>
            <w:pPr>
              <w:pStyle w:val="EMPTY_CELL_STYLE"/>
            </w:pPr>
          </w:p>
        </w:tc>
      </w:tr>
      <w:tr>
        <w:trPr>
          <w:trHeight w:hRule="atLeast" w:val="1000"/>
        </w:trPr>
        <w:tc>
          <w:tcPr>
     </w:tcPr>
          <w:p>
            <w:pPr>
              <w:pStyle w:val="EMPTY_CELL_STYLE"/>
            </w:pPr>
          </w:p>
        </w:tc>
        <w:tc>
          <w:tcPr>
            <w:gridSpan w:val="5"/>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报告期末本产品总资产未超过该产品净资产规模的140%，符合产品协议对本产品杠杆比例的要求。</w:t>
            </w: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3.投资组合的流动性风险分析</w:t>
            </w:r>
          </w:p>
        </w:tc>
        <w:tc>
          <w:tcPr>
     </w:tcPr>
          <w:p>
            <w:pPr>
              <w:pStyle w:val="EMPTY_CELL_STYLE"/>
            </w:pPr>
          </w:p>
        </w:tc>
        <w:tc>
          <w:tcPr>
     </w:tcPr>
          <w:p>
            <w:pPr>
              <w:pStyle w:val="EMPTY_CELL_STYLE"/>
            </w:pPr>
          </w:p>
        </w:tc>
      </w:tr>
      <w:tr>
        <w:trPr>
          <w:trHeight w:hRule="atLeast" w:val="2580"/>
        </w:trPr>
        <w:tc>
          <w:tcPr>
     </w:tcPr>
          <w:p>
            <w:pPr>
              <w:pStyle w:val="EMPTY_CELL_STYLE"/>
            </w:pPr>
          </w:p>
        </w:tc>
        <w:tc>
          <w:tcPr>
            <w:gridSpan w:val="5"/>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流动性风险是指产品在履行与金融负债有关的义务时遇到资金短缺的风险。本产品的流动性风险一方面来自理财份额持有人可在约定的开放日提出赎回其持有的理财份额，另一方面来自于若投资品种所处的交易市场不活跃，可能带来资产变现困难或产品持仓资产在市场出现剧烈波动的情况下难以以合理价格变现的风险。</w:t>
              <w:br/>
              <w:t xml:space="preserve">    为防范无法支付赎回款而产生的流动性风险，本理财产品管理人将合理安排所投资产期限，持续根据市场变化情况做好投资安排，尽可能降低产品流动性风险，有效保障理财持有人利益。</w:t>
              <w:br/>
              <w:t xml:space="preserve">    报告期内，本理财产品管理人严格遵守相关法律法规以及产品销售协议，对理财产品组合资产的流动性风险进行管理，报告期内未发生流动性风险。</w:t>
              <w:br/>
            </w:r>
          </w:p>
        </w:tc>
        <w:tc>
          <w:tcPr>
     </w:tcPr>
          <w:p>
            <w:pPr>
              <w:pStyle w:val="EMPTY_CELL_STYLE"/>
            </w:pPr>
          </w:p>
        </w:tc>
        <w:tc>
          <w:tcPr>
     </w:tcPr>
          <w:p>
            <w:pPr>
              <w:pStyle w:val="EMPTY_CELL_STYLE"/>
            </w:pPr>
          </w:p>
        </w:tc>
      </w:tr>
      <w:tr>
        <w:trPr>
          <w:trHeight w:hRule="exact" w:val="1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6/</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8</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40"/>
        <w:gridCol w:w="160"/>
        <w:gridCol w:w="3200"/>
        <w:gridCol w:w="2000"/>
        <w:gridCol w:w="2000"/>
        <w:gridCol w:w="3300"/>
        <w:gridCol w:w="40"/>
        <w:gridCol w:w="1"/>
      </w:tblGrid>
      <w:tr>
        <w:trPr>
          <w:trHeight w:hRule="exact" w:val="0"/>
        </w:trPr>
        <w:tc>
          <w:tcPr>
     </w:tcPr>
          <w:p>
            <w:pPr>
              <w:pStyle w:val="EMPTY_CELL_STYLE"/>
              <w:pageBreakBefore/>
            </w:pPr>
            <w:bookmarkStart w:id="6" w:name="JR_PAGE_ANCHOR_0_7"/>
            <w:bookmarkEnd w:id="6"/>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兴银理财兴承恒享开放式1号净值型理财产品2022年年度报告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exact" w:val="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tcPr>
          <w:p>
            <w:pPr>
              <w:pStyle w:val="EMPTY_CELL_STYLE"/>
            </w:pPr>
          </w:p>
        </w:tc>
        <w:tc>
          <w:tcPr>
            <w:gridSpan w:val="6"/>
            <w:tcMar>
              <w:top w:w="0" w:type="dxa"/>
              <w:left w:w="0" w:type="dxa"/>
              <w:bottom w:w="0" w:type="dxa"/>
              <w:right w:w="0" w:type="dxa"/>
            </w:tcMar>
            <w:vAlign w:val="center"/>
          </w:tcPr>
          <w:p>
            <w:pPr>
              <w:ind/>
            </w:pPr>
            <w:r>
              <w:rPr>
                <w:rFonts w:ascii="宋体" w:hAnsi="宋体" w:eastAsia="宋体" w:cs="宋体"/>
                <w:color w:val="000000"/>
                <w:sz w:val="21"/>
                <w:b w:val="true"/>
              </w:rPr>
              <w:t xml:space="preserve">4.报告期末资产持仓前十基本信息</w:t>
            </w:r>
          </w:p>
        </w:tc>
        <w:tc>
          <w:tcPr>
     </w:tcPr>
          <w:p>
            <w:pPr>
              <w:pStyle w:val="EMPTY_CELL_STYLE"/>
            </w:pPr>
          </w:p>
        </w:tc>
      </w:tr>
      <w:tr>
        <w:trPr>
          <w:trHeight w:hRule="exact" w:val="6640"/>
        </w:trPr>
        <w:tc>
          <w:tcPr>
     </w:tcPr>
          <w:p>
            <w:pPr>
              <w:pStyle w:val="EMPTY_CELL_STYLE"/>
            </w:pPr>
          </w:p>
        </w:tc>
        <w:tc>
          <w:tcPr>
     </w:tcPr>
          <w:p>
            <w:pPr>
              <w:pStyle w:val="EMPTY_CELL_STYLE"/>
            </w:pPr>
          </w:p>
        </w:tc>
        <w:tc>
          <w:tcPr>
            <w:gridSpan w:val="6"/>
            <w:shd w:val="clear" w:color="auto" w:fill="FFFFFF"/>
            <w:tcBorders>
              <w:bottom w:val="single" w:sz="4" w:space="0" w:color="000000"/>
            </w:tcBorders>
            <w:tcMar>
              <w:top w:w="0" w:type="dxa"/>
              <w:left w:w="0" w:type="dxa"/>
              <w:bottom w:w="0" w:type="dxa"/>
              <w:right w:w="0" w:type="dxa"/>
            </w:tcMar>
          </w:tcPr>
          <w:tbl>
            <w:tblPr>
              <w:tblLayout w:type="fixed"/>
            </w:tblPr>
            <w:tblGrid>
              <w:gridCol w:w="1000"/>
              <w:gridCol w:w="4000"/>
              <w:gridCol w:w="2600"/>
              <w:gridCol w:w="3100"/>
            </w:tblGrid>
            <w:tr>
              <w:trPr>
                <w:trHeight w:hRule="exact" w:val="64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资产规模</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100"/>
                    <w:gridCol w:w="31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占产品资产净值的比例（%）</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质押式逆回购</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360,000,660.00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11.95</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农行优2</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121,186,461.00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4.02</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21申证03</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100,991,500.00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3.35</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21财信02</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100,561,800.00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3.34</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21乌城01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98,730,100.00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3.28</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安信稳健增利A（009100.OF）</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86,623,393.53</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2.87</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22农发清发04</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79,285,600.00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2.63</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8</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21苏沙钢MTN003</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78,559,200.00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2.61</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22润置02</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50,862,600.00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1.69</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21越秀金融MTN003</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50,536,200.00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1.68</w:t>
                        </w:r>
                      </w:p>
                    </w:tc>
                  </w:tr>
                </w:tbl>
                <w:p>
                  <w:pPr>
                    <w:pStyle w:val="EMPTY_CELL_STYLE"/>
                  </w:pPr>
                </w:p>
              </w:tc>
            </w:tr>
          </w:tbl>
          <w:p>
            <w:pPr>
              <w:pStyle w:val="EMPTY_CELL_STYLE"/>
            </w:pPr>
          </w:p>
        </w:tc>
        <w:tc>
          <w:tcPr>
     </w:tcPr>
          <w:p>
            <w:pPr>
              <w:pStyle w:val="EMPTY_CELL_STYLE"/>
            </w:pPr>
          </w:p>
        </w:tc>
      </w:tr>
      <w:tr>
        <w:trPr>
          <w:trHeight w:hRule="exact" w:val="5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pPr>
            <w:r>
              <w:rPr>
                <w:rFonts w:ascii="宋体" w:hAnsi="宋体" w:eastAsia="宋体" w:cs="宋体"/>
                <w:color w:val="000000"/>
                <w:sz w:val="21"/>
                <w:b w:val="true"/>
              </w:rPr>
              <w:t xml:space="preserve">5.报告期间关联交易情况</w:t>
            </w: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5.1 理财产品在报告期末投资关联方发行、承销的证券的情况</w:t>
            </w:r>
          </w:p>
        </w:tc>
        <w:tc>
          <w:tcPr>
     </w:tcPr>
          <w:p>
            <w:pPr>
              <w:pStyle w:val="EMPTY_CELL_STYLE"/>
            </w:pPr>
          </w:p>
        </w:tc>
        <w:tc>
          <w:tcPr>
     </w:tcPr>
          <w:p>
            <w:pPr>
              <w:pStyle w:val="EMPTY_CELL_STYLE"/>
            </w:pPr>
          </w:p>
        </w:tc>
      </w:tr>
      <w:tr>
        <w:trPr>
          <w:trHeight w:hRule="exact" w:val="1800"/>
        </w:trPr>
        <w:tc>
          <w:tcPr>
     </w:tcPr>
          <w:p>
            <w:pPr>
              <w:pStyle w:val="EMPTY_CELL_STYLE"/>
            </w:pPr>
          </w:p>
        </w:tc>
        <w:tc>
          <w:tcPr>
            <w:gridSpan w:val="6"/>
            <w:tcMar>
              <w:top w:w="0" w:type="dxa"/>
              <w:left w:w="0" w:type="dxa"/>
              <w:bottom w:w="0" w:type="dxa"/>
              <w:right w:w="0" w:type="dxa"/>
            </w:tcMar>
          </w:tcPr>
          <w:tbl>
            <w:tblPr>
              <w:tblLayout w:type="fixed"/>
            </w:tblPr>
            <w:tblGrid>
              <w:gridCol w:w="1800"/>
              <w:gridCol w:w="3000"/>
              <w:gridCol w:w="2800"/>
              <w:gridCol w:w="31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资产面额（元）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承销商/发行人</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9D210010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21苏沙钢MTN002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9D210010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21越秀金融MTN003</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5.2 理财产品在报告期内其他关联交易</w:t>
            </w:r>
          </w:p>
        </w:tc>
        <w:tc>
          <w:tcPr>
     </w:tcPr>
          <w:p>
            <w:pPr>
              <w:pStyle w:val="EMPTY_CELL_STYLE"/>
            </w:pPr>
          </w:p>
        </w:tc>
        <w:tc>
          <w:tcPr>
     </w:tcPr>
          <w:p>
            <w:pPr>
              <w:pStyle w:val="EMPTY_CELL_STYLE"/>
            </w:pPr>
          </w:p>
        </w:tc>
      </w:tr>
      <w:tr>
        <w:trPr>
          <w:trHeight w:hRule="exact" w:val="1200"/>
        </w:trPr>
        <w:tc>
          <w:tcPr>
     </w:tcPr>
          <w:p>
            <w:pPr>
              <w:pStyle w:val="EMPTY_CELL_STYLE"/>
            </w:pPr>
          </w:p>
        </w:tc>
        <w:tc>
          <w:tcPr>
            <w:gridSpan w:val="6"/>
            <w:tcMar>
              <w:top w:w="0" w:type="dxa"/>
              <w:left w:w="0" w:type="dxa"/>
              <w:bottom w:w="0" w:type="dxa"/>
              <w:right w:w="0" w:type="dxa"/>
            </w:tcMar>
          </w:tcPr>
          <w:tbl>
            <w:tblPr>
              <w:tblLayout w:type="fixed"/>
            </w:tblPr>
            <w:tblGrid>
              <w:gridCol w:w="1600"/>
              <w:gridCol w:w="2200"/>
              <w:gridCol w:w="2200"/>
              <w:gridCol w:w="1800"/>
              <w:gridCol w:w="29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5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交易标的</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交易金额（万元）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800"/>
                    <w:gridCol w:w="1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交易类型</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900"/>
                    <w:gridCol w:w="29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关联方名称</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5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9D210010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兴业财富-兴合集合资产管理计划</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5.12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800"/>
                    <w:gridCol w:w="1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管理费</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900"/>
                    <w:gridCol w:w="29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兴业财富资产管理有限公司</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5.3 理财产品在报告期内中的重大关联交易</w:t>
            </w: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600"/>
              <w:gridCol w:w="2200"/>
              <w:gridCol w:w="2200"/>
              <w:gridCol w:w="1800"/>
              <w:gridCol w:w="29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5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资产面额（元）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800"/>
                    <w:gridCol w:w="1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交易类型</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900"/>
                    <w:gridCol w:w="29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关联方名称</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0700"/>
              <w:gridCol w:w="10700"/>
            </w:tblGrid>
            <w:tr>
              <w:trPr>
                <w:trHeight w:hRule="exact" w:val="600"/>
              </w:trPr>
              <w:tc>
                <w:tcPr>
                  <w:shd w:val="clear" w:color="auto" w:fill="FFFFFF"/>
                  <w:tcBorders>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06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无</w:t>
                        </w:r>
                      </w:p>
                    </w:tc>
                    <w:tc>
                      <w:tcPr>
     </w:tcPr>
                      <w:p>
                        <w:pPr>
                          <w:pStyle w:val="EMPTY_CELL_STYLE"/>
                        </w:pP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5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7/</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8</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40"/>
        <w:gridCol w:w="3360"/>
        <w:gridCol w:w="2000"/>
        <w:gridCol w:w="2000"/>
        <w:gridCol w:w="3300"/>
        <w:gridCol w:w="40"/>
        <w:gridCol w:w="1"/>
      </w:tblGrid>
      <w:tr>
        <w:trPr>
          <w:trHeight w:hRule="exact" w:val="0"/>
        </w:trPr>
        <w:tc>
          <w:tcPr>
     </w:tcPr>
          <w:p>
            <w:pPr>
              <w:pStyle w:val="EMPTY_CELL_STYLE"/>
              <w:pageBreakBefore/>
            </w:pPr>
            <w:bookmarkStart w:id="7" w:name="JR_PAGE_ANCHOR_0_8"/>
            <w:bookmarkEnd w:id="7"/>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兴银理财兴承恒享开放式1号净值型理财产品2022年年度报告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5"/>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5"/>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6.投资账户信息</w:t>
            </w:r>
          </w:p>
        </w:tc>
        <w:tc>
          <w:tcPr>
     </w:tcPr>
          <w:p>
            <w:pPr>
              <w:pStyle w:val="EMPTY_CELL_STYLE"/>
            </w:pPr>
          </w:p>
        </w:tc>
      </w:tr>
      <w:tr>
        <w:trPr>
          <w:trHeight w:hRule="exact" w:val="1200"/>
        </w:trPr>
        <w:tc>
          <w:tcPr>
     </w:tcPr>
          <w:p>
            <w:pPr>
              <w:pStyle w:val="EMPTY_CELL_STYLE"/>
            </w:pPr>
          </w:p>
        </w:tc>
        <w:tc>
          <w:tcPr>
     </w:tcPr>
          <w:p>
            <w:pPr>
              <w:pStyle w:val="EMPTY_CELL_STYLE"/>
            </w:pPr>
          </w:p>
        </w:tc>
        <w:tc>
          <w:tcPr>
            <w:gridSpan w:val="5"/>
            <w:shd w:val="clear" w:color="auto" w:fill="FFFFFF"/>
            <w:tcMar>
              <w:top w:w="0" w:type="dxa"/>
              <w:left w:w="0" w:type="dxa"/>
              <w:bottom w:w="0" w:type="dxa"/>
              <w:right w:w="0" w:type="dxa"/>
            </w:tcMar>
          </w:tcPr>
          <w:tbl>
            <w:tblPr>
              <w:tblLayout w:type="fixed"/>
            </w:tblPr>
            <w:tblGrid>
              <w:gridCol w:w="1000"/>
              <w:gridCol w:w="2200"/>
              <w:gridCol w:w="3000"/>
              <w:gridCol w:w="4500"/>
            </w:tblGrid>
            <w:tr>
              <w:trPr>
                <w:trHeight w:hRule="exact" w:val="60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账户类型</w:t>
                        </w:r>
                      </w:p>
                    </w:tc>
                  </w:tr>
                </w:tbl>
                <w:p>
                  <w:pPr>
                    <w:pStyle w:val="EMPTY_CELL_STYLE"/>
                  </w:pPr>
                </w:p>
              </w:tc>
              <w:tc>
                <w:tcPr>
                  <w:shd w:val="clear" w:color="auto" w:fill="FFFFFF"/>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账户编号</w:t>
                        </w:r>
                      </w:p>
                    </w:tc>
                  </w:tr>
                </w:tbl>
                <w:p>
                  <w:pPr>
                    <w:pStyle w:val="EMPTY_CELL_STYLE"/>
                  </w:pPr>
                </w:p>
              </w:tc>
              <w:tc>
                <w:tcPr>
                  <w:shd w:val="clear" w:color="auto" w:fill="B3B4B5"/>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500"/>
                    <w:gridCol w:w="45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账户名称</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托管账户</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051010100101198641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500"/>
                    <w:gridCol w:w="4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兴银理财兴承恒享开放式1号净值型理财产品</w:t>
                        </w:r>
                      </w:p>
                    </w:tc>
                  </w:tr>
                </w:tbl>
                <w:p>
                  <w:pPr>
                    <w:pStyle w:val="EMPTY_CELL_STYLE"/>
                  </w:pPr>
                </w:p>
              </w:tc>
            </w:tr>
          </w:tbl>
          <w:p>
            <w:pPr>
              <w:pStyle w:val="EMPTY_CELL_STYLE"/>
            </w:pPr>
          </w:p>
        </w:tc>
        <w:tc>
          <w:tcPr>
     </w:tcPr>
          <w:p>
            <w:pPr>
              <w:pStyle w:val="EMPTY_CELL_STYLE"/>
            </w:pPr>
          </w:p>
        </w:tc>
      </w:tr>
      <w:tr>
        <w:trPr>
          <w:trHeight w:hRule="exact" w:val="9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center"/>
          </w:tcPr>
          <w:p>
            <w:pPr>
              <w:ind/>
              <w:jc w:val="right"/>
            </w:pPr>
            <w:r>
              <w:rPr>
                <w:rFonts w:ascii="宋体" w:hAnsi="宋体" w:eastAsia="宋体" w:cs="宋体"/>
                <w:color w:val="000000"/>
                <w:sz w:val="21"/>
              </w:rPr>
              <w:t xml:space="preserve">兴银理财有限责任公司</w:t>
            </w: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top"/>
          </w:tcPr>
          <w:p>
            <w:pPr>
              <w:ind/>
              <w:jc w:val="right"/>
            </w:pPr>
            <w:r>
              <w:rPr>
                <w:rFonts w:ascii="宋体" w:hAnsi="宋体" w:eastAsia="宋体" w:cs="宋体"/>
                <w:color w:val="000000"/>
                <w:sz w:val="21"/>
              </w:rPr>
              <w:t xml:space="preserve">2023年5月15日</w:t>
            </w:r>
          </w:p>
        </w:tc>
        <w:tc>
          <w:tcPr>
     </w:tcPr>
          <w:p>
            <w:pPr>
              <w:pStyle w:val="EMPTY_CELL_STYLE"/>
            </w:pPr>
          </w:p>
        </w:tc>
        <w:tc>
          <w:tcPr>
     </w:tcPr>
          <w:p>
            <w:pPr>
              <w:pStyle w:val="EMPTY_CELL_STYLE"/>
            </w:pPr>
          </w:p>
        </w:tc>
      </w:tr>
      <w:tr>
        <w:trPr>
          <w:trHeight w:hRule="exact" w:val="114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8/</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8</w:t>
            </w:r>
          </w:p>
        </w:tc>
        <w:tc>
          <w:tcPr>
     </w:tcPr>
          <w:p>
            <w:pPr>
              <w:pStyle w:val="EMPTY_CELL_STYLE"/>
            </w:pPr>
          </w:p>
        </w:tc>
        <w:tc>
          <w:tcPr>
     </w:tcPr>
          <w:p>
            <w:pPr>
              <w:pStyle w:val="EMPTY_CELL_STYLE"/>
            </w:pPr>
          </w:p>
        </w:tc>
        <w:tc>
          <w:tcPr>
     </w:tcPr>
          <w:p>
            <w:pPr>
              <w:pStyle w:val="EMPTY_CELL_STYLE"/>
            </w:pPr>
          </w:p>
        </w:tc>
      </w:tr>
    </w:tbl>
    <w:sectPr>
      <w:pgSz w:w="11900" w:h="16840" w:orient="portrait"/>
      <w:pgMar w:top="600" w:right="560" w:bottom="240" w:left="600" w:header="0" w:footer="0" w:gutter="0"/>
      <w:docGrid w:linePitch="360"/>
    </w:sectPr>
  </w:body>
</w:document>
</file>

<file path=word/settings.xml><?xml version="1.0" encoding="utf-8"?>
<w:settings xmlns:w="http://schemas.openxmlformats.org/wordprocessingml/2006/main">
  <w:defaultTabStop w:val="800"/>
</w:settings>
</file>

<file path=word/styles.xml><?xml version="1.0" encoding="utf-8"?>
<w:styles xmlns:r="http://schemas.openxmlformats.org/officeDocument/2006/relationships" xmlns:w="http://schemas.openxmlformats.org/wordprocessingml/2006/main">
  <w:docDefaults>
    <w:rPrDefault>
  </w:rPrDefault>
    <w:pPrDefault>
      <w:pPr>
        <w:spacing w:line="240"/>
      </w:pPr>
    </w:pPrDefault>
  </w:docDefaults>
  <w:style w:type="paragraph" w:styleId="EMPTY_CELL_STYLE">
    <w:name w:val="EMPTY_CELL_STYLE"/>
    <w:qFormat/>
    <w:pPr>
      <w:ind/>
    </w:pPr>
    <w:rPr>
      <w:rFonts w:ascii="SansSerif" w:hAnsi="SansSerif" w:eastAsia="SansSerif" w:cs="SansSerif"/>
      <w:color w:val="000000"/>
      <w:sz w:val="1"/>
    </w:rPr>
  </w:style>
  <w:style w:type="paragraph" w:styleId="Table_TH">
    <w:name w:val="Table_TH"/>
    <w:qFormat/>
    <w:pPr>
      <w:ind/>
    </w:pPr>
    <w:rPr>
      <w:rFonts w:ascii="SansSerif" w:hAnsi="SansSerif" w:eastAsia="SansSerif" w:cs="SansSerif"/>
      <w:color w:val="000000"/>
      <w:sz w:val="20"/>
    </w:rPr>
  </w:style>
  <w:style w:type="paragraph" w:styleId="Table_CH">
    <w:name w:val="Table_CH"/>
    <w:qFormat/>
    <w:pPr>
      <w:ind/>
    </w:pPr>
    <w:rPr>
      <w:rFonts w:ascii="SansSerif" w:hAnsi="SansSerif" w:eastAsia="SansSerif" w:cs="SansSerif"/>
      <w:color w:val="000000"/>
      <w:sz w:val="20"/>
    </w:rPr>
  </w:style>
  <w:style w:type="paragraph" w:styleId="Table_TD">
    <w:name w:val="Table_TD"/>
    <w:qFormat/>
    <w:pPr>
      <w:ind/>
    </w:pPr>
    <w:rPr>
      <w:rFonts w:ascii="SansSerif" w:hAnsi="SansSerif" w:eastAsia="SansSerif" w:cs="SansSerif"/>
      <w:color w:val="000000"/>
      <w:sz w:val="20"/>
    </w:rPr>
  </w:style>
  <w:style w:type="paragraph" w:styleId="Table_CD">
    <w:name w:val="Table_CD"/>
    <w:qFormat/>
    <w:pPr>
      <w:ind/>
    </w:pPr>
    <w:rPr>
      <w:rFonts w:ascii="SansSerif" w:hAnsi="SansSerif" w:eastAsia="SansSerif" w:cs="SansSerif"/>
      <w:color w:val="000000"/>
      <w:sz w:val="20"/>
    </w:rPr>
  </w:style>
  <w:style w:type="paragraph" w:styleId="Table 3_TH">
    <w:name w:val="Table 3_TH"/>
    <w:qFormat/>
    <w:pPr>
      <w:ind/>
    </w:pPr>
    <w:rPr>
      <w:rFonts w:ascii="SansSerif" w:hAnsi="SansSerif" w:eastAsia="SansSerif" w:cs="SansSerif"/>
      <w:color w:val="000000"/>
      <w:sz w:val="20"/>
    </w:rPr>
  </w:style>
  <w:style w:type="paragraph" w:styleId="Table 3_CH">
    <w:name w:val="Table 3_CH"/>
    <w:qFormat/>
    <w:pPr>
      <w:ind/>
    </w:pPr>
    <w:rPr>
      <w:rFonts w:ascii="SansSerif" w:hAnsi="SansSerif" w:eastAsia="SansSerif" w:cs="SansSerif"/>
      <w:color w:val="000000"/>
      <w:sz w:val="20"/>
    </w:rPr>
  </w:style>
  <w:style w:type="paragraph" w:styleId="Table 3_TD">
    <w:name w:val="Table 3_TD"/>
    <w:qFormat/>
    <w:pPr>
      <w:ind/>
    </w:pPr>
    <w:rPr>
      <w:rFonts w:ascii="SansSerif" w:hAnsi="SansSerif" w:eastAsia="SansSerif" w:cs="SansSerif"/>
      <w:color w:val="000000"/>
      <w:sz w:val="20"/>
    </w:rPr>
  </w:style>
  <w:style w:type="paragraph" w:styleId="Table 4_TH">
    <w:name w:val="Table 4_TH"/>
    <w:qFormat/>
    <w:pPr>
      <w:ind/>
    </w:pPr>
    <w:rPr>
      <w:rFonts w:ascii="SansSerif" w:hAnsi="SansSerif" w:eastAsia="SansSerif" w:cs="SansSerif"/>
      <w:color w:val="000000"/>
      <w:sz w:val="20"/>
    </w:rPr>
  </w:style>
  <w:style w:type="paragraph" w:styleId="Table 4_CH">
    <w:name w:val="Table 4_CH"/>
    <w:qFormat/>
    <w:pPr>
      <w:ind/>
    </w:pPr>
    <w:rPr>
      <w:rFonts w:ascii="SansSerif" w:hAnsi="SansSerif" w:eastAsia="SansSerif" w:cs="SansSerif"/>
      <w:color w:val="000000"/>
      <w:sz w:val="20"/>
    </w:rPr>
  </w:style>
  <w:style w:type="paragraph" w:styleId="Table 4_TD">
    <w:name w:val="Table 4_TD"/>
    <w:qFormat/>
    <w:pPr>
      <w:ind/>
    </w:pPr>
    <w:rPr>
      <w:rFonts w:ascii="SansSerif" w:hAnsi="SansSerif" w:eastAsia="SansSerif" w:cs="SansSerif"/>
      <w:color w:val="000000"/>
      <w:sz w:val="20"/>
    </w:rPr>
  </w:style>
  <w:style w:type="paragraph" w:styleId="Table 1_TH">
    <w:name w:val="Table 1_TH"/>
    <w:qFormat/>
    <w:pPr>
      <w:ind/>
    </w:pPr>
    <w:rPr>
      <w:rFonts w:ascii="SansSerif" w:hAnsi="SansSerif" w:eastAsia="SansSerif" w:cs="SansSerif"/>
      <w:color w:val="000000"/>
      <w:sz w:val="20"/>
    </w:rPr>
  </w:style>
  <w:style w:type="paragraph" w:styleId="Table 1_CH">
    <w:name w:val="Table 1_CH"/>
    <w:qFormat/>
    <w:pPr>
      <w:ind/>
    </w:pPr>
    <w:rPr>
      <w:rFonts w:ascii="SansSerif" w:hAnsi="SansSerif" w:eastAsia="SansSerif" w:cs="SansSerif"/>
      <w:color w:val="000000"/>
      <w:sz w:val="20"/>
    </w:rPr>
  </w:style>
  <w:style w:type="paragraph" w:styleId="Table 1_TD">
    <w:name w:val="Table 1_TD"/>
    <w:qFormat/>
    <w:pPr>
      <w:ind/>
    </w:pPr>
    <w:rPr>
      <w:rFonts w:ascii="SansSerif" w:hAnsi="SansSerif" w:eastAsia="SansSerif" w:cs="SansSerif"/>
      <w:color w:val="000000"/>
      <w:sz w:val="20"/>
    </w:rPr>
  </w:style>
  <w:style w:type="paragraph" w:styleId="Table 2_TH">
    <w:name w:val="Table 2_TH"/>
    <w:qFormat/>
    <w:pPr>
      <w:ind/>
    </w:pPr>
    <w:rPr>
      <w:rFonts w:ascii="SansSerif" w:hAnsi="SansSerif" w:eastAsia="SansSerif" w:cs="SansSerif"/>
      <w:color w:val="000000"/>
      <w:sz w:val="20"/>
    </w:rPr>
  </w:style>
  <w:style w:type="paragraph" w:styleId="Table 2_CH">
    <w:name w:val="Table 2_CH"/>
    <w:qFormat/>
    <w:pPr>
      <w:ind/>
    </w:pPr>
    <w:rPr>
      <w:rFonts w:ascii="SansSerif" w:hAnsi="SansSerif" w:eastAsia="SansSerif" w:cs="SansSerif"/>
      <w:color w:val="000000"/>
      <w:sz w:val="20"/>
    </w:rPr>
  </w:style>
  <w:style w:type="paragraph" w:styleId="Table 2_TD">
    <w:name w:val="Table 2_TD"/>
    <w:qFormat/>
    <w:pPr>
      <w:ind/>
    </w:pPr>
    <w:rPr>
      <w:rFonts w:ascii="SansSerif" w:hAnsi="SansSerif" w:eastAsia="SansSerif" w:cs="SansSerif"/>
      <w:color w:val="000000"/>
      <w:sz w:val="20"/>
    </w:rPr>
  </w:style>
  <w:style w:type="paragraph" w:styleId="Table 5_TH">
    <w:name w:val="Table 5_TH"/>
    <w:qFormat/>
    <w:pPr>
      <w:ind/>
    </w:pPr>
    <w:rPr>
      <w:rFonts w:ascii="SansSerif" w:hAnsi="SansSerif" w:eastAsia="SansSerif" w:cs="SansSerif"/>
      <w:color w:val="000000"/>
      <w:sz w:val="20"/>
    </w:rPr>
  </w:style>
  <w:style w:type="paragraph" w:styleId="Table 5_CH">
    <w:name w:val="Table 5_CH"/>
    <w:qFormat/>
    <w:pPr>
      <w:ind/>
    </w:pPr>
    <w:rPr>
      <w:rFonts w:ascii="SansSerif" w:hAnsi="SansSerif" w:eastAsia="SansSerif" w:cs="SansSerif"/>
      <w:color w:val="000000"/>
      <w:sz w:val="20"/>
    </w:rPr>
  </w:style>
  <w:style w:type="paragraph" w:styleId="Table 5_TD">
    <w:name w:val="Table 5_TD"/>
    <w:qFormat/>
    <w:pPr>
      <w:ind/>
    </w:pPr>
    <w:rPr>
      <w:rFonts w:ascii="SansSerif" w:hAnsi="SansSerif" w:eastAsia="SansSerif" w:cs="SansSerif"/>
      <w:color w:val="000000"/>
      <w:sz w:val="20"/>
    </w:rPr>
  </w:style>
  <w:style w:type="paragraph" w:styleId="Table 6_TH">
    <w:name w:val="Table 6_TH"/>
    <w:qFormat/>
    <w:pPr>
      <w:ind/>
    </w:pPr>
    <w:rPr>
      <w:rFonts w:ascii="SansSerif" w:hAnsi="SansSerif" w:eastAsia="SansSerif" w:cs="SansSerif"/>
      <w:color w:val="000000"/>
      <w:sz w:val="20"/>
    </w:rPr>
  </w:style>
  <w:style w:type="paragraph" w:styleId="Table 6_CH">
    <w:name w:val="Table 6_CH"/>
    <w:qFormat/>
    <w:pPr>
      <w:ind/>
    </w:pPr>
    <w:rPr>
      <w:rFonts w:ascii="SansSerif" w:hAnsi="SansSerif" w:eastAsia="SansSerif" w:cs="SansSerif"/>
      <w:color w:val="000000"/>
      <w:sz w:val="20"/>
    </w:rPr>
  </w:style>
  <w:style w:type="paragraph" w:styleId="Table 6_TD">
    <w:name w:val="Table 6_TD"/>
    <w:qFormat/>
    <w:pPr>
      <w:ind/>
    </w:pPr>
    <w:rPr>
      <w:rFonts w:ascii="SansSerif" w:hAnsi="SansSerif" w:eastAsia="SansSerif" w:cs="SansSerif"/>
      <w:color w:val="000000"/>
      <w:sz w:val="20"/>
    </w:rPr>
  </w:style>
</w:styles>
</file>

<file path=word/_rels/document.xml.rels><?xml version="1.0" encoding="UTF-8"?>
<Relationships xmlns="http://schemas.openxmlformats.org/package/2006/relationships">
 <Relationship Id="rId1" Type="http://schemas.openxmlformats.org/officeDocument/2006/relationships/styles" Target="styles.xml"/>
 <Relationship Id="rId2" Type="http://schemas.openxmlformats.org/officeDocument/2006/relationships/settings" Target="settings.xml"/>
</Relationships>

</file>

<file path=docProps/app.xml><?xml version="1.0" encoding="utf-8"?>
<Properties xmlns="http://schemas.openxmlformats.org/officeDocument/2006/extended-properties">
  <Application>JasperReports Library version 6.6.0</Application>
</Properties>
</file>

<file path=docProps/core.xml><?xml version="1.0" encoding="utf-8"?>
<coreProperties xmlns="http://schemas.openxmlformats.org/package/2006/metadata/core-properties" xmlns:cp="http://schemas.openxmlformats.org/package/2006/metadata/core-properties" xmlns:dc="http://purl.org/dc/elements/1.1/" xmlns:dcterms="http://purl.org/dc/terms/" xmlns:xsi="http://www.w3.org/2001/XMLSchema-instance">
</coreProperties>
</file>