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137,811,950.31份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3.65%-- 5.50%/5.50%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137,811,950.31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产品9D31003A自成立日以来，累计净值增长率为1.1460%，年化累计净值增长率为1.4131%。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139,390,614.09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139,390,614.09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1.2年，杠杆110%。四季度产品打开进入下一个定开周期。对于上一个周期，四季度仓位自然衰减，但还是受到了债券市场大幅波动的影响，净值出现了一定下滑。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产品还有2个月到期，目前主要是降低组合久期，同时如果债券进入下一波调整周期，可以逢低买入流动性较好的长久期债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7,971,566.10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7,763,128.00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6,832,308.80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5,039,465.00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5,017,025.00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