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兴银理财金雪球稳利1号G款净值型理财产品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4,695,165,199.32份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产品9C212007自成立日以来，累计净值增长率为1.8680%，年化累计净值增长率为2.3034%。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1.01868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1.01868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4,782,865,978.05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本产品聘请毕马威会计师事务所（特殊普通合伙）上海分所依据中国注册会计师审计准则对本产品的财务报表，包括2022年12月31日的资产负债表，自2022年03月11日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中原银行郑州分行大额存单02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499,490,500.00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407,083,629.89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406,282,798.23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301,989,194.03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301,499,421.21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152,427,277.98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Z存放同业（线上）20220530002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149,969,818.29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139,987,540.00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21信地02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104,640,165.00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100,390,000.00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19蓉城文化MTN001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21台州经济MTN001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21振业集团MTN001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22楚天智能MTN001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22海尔金控SCP005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22合肥高新MTN001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22河钢集MTN001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22鲁黄金MTN002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22天心城投SCP002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22新水国资SCP001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22兖矿能源MTN002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051010100101359995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