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兴银理财万利宝聚利2021年第4期净值型理财产品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产品9K121040自成立日以来，累计净值增长率为7.6640%，年化累计净值增长率为5.0312%。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1.07664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1.07664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161,496,742.41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华夏女士，西安交通大学经济学硕士，金融从业10余年，历任兴业银行资金营运中心本外币及衍生产品交易员、资产管理部固定收益项目投资经理，资产证券化项目投资经理，现任兴银理财项目投资部投资经理，团队主管，积累丰富的投资管理经验，专注于资产支持证券与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本产品主要投资于非标准化债权类资产，以持有至到期策略为主。投资标的为“西安高新控股有限公司2021年度第四期债权融资计划”，该融资计划融资人为西安高新控股有限公司。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21陕高新控股ZR004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149,983,069.35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