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兴银理财金雪球稳利年年兴C款净值型理财产品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781,440,398.82份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产品9C212130自成立日以来，累计净值增长率为3.3590%，年化累计净值增长率为3.4732%。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1.03359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1.03359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807,688,935.24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本产品聘请毕马威会计师事务所（特殊普通合伙）上海分所依据中国注册会计师审计准则对本产品的财务报表，包括2022年12月31日的资产负债表，自2022年01月13日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69,993,770.00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30,236,790.00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19景国资MTN001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29,520,480.00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21桐庐国运MTN002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兴银理财金雪球稳利年年兴C款净值型理财产品</w:t>
                        </w:r>
                      </w:p>
                    </w:tc>
                  </w:tr>
                </w:tbl>
                <w:p>
                  <w:pPr>
                    <w:pStyle w:val="EMPTY_CELL_STYLE"/>
                  </w:pPr>
                </w:p>
              </w:tc>
            </w:tr>
          </w:tbl>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兴银理财金雪球稳利年年兴C款净值型理财产品2022年年度报告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