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兴银理财万利宝聚利2021年第19期净值型理财产品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124,120,000份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4.75%--5.05%/--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兴银万利宝聚利2021年第19期A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兴银万利宝聚利2021年第19期B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109,270,000.00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产品9K12119A自成立日以来，累计净值增长率为5.1830%，年化累计净值增长率为4.9784%。</w:t>
              <w:br/>
              <w:t xml:space="preserve">产品9K12119B自成立日以来，累计净值增长率为5.5040%，年化累计净值增长率为5.2867%。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124,980,844.41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14,951,428.59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110,029,415.82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本产品主要投资于非标准化债权类资产，以持有至到期策略为主。投资标的为“福建建工集团有限责任公司2021年度第三期债权融资计划”，该融资计划融资人为福建建工集团有限责任公司。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21闽福建建工ZR003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124,418,880.96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051010100101285050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