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兴银理财兴易睿享一年定期开放1号权益类理财产品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兴银理财兴易睿享一年定期开放1号权益类理财产品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权益类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22,030,000.00份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4.20%--8.50%/--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产品9K202110自成立日以来，累计净值增长率为5.6860%，年化累计净值增长率为5.5640%。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23,282,544.95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 月，A 股大小指数表现分化，沪深 300 指数上涨 0.48%，中证 500 指数下跌-4.74%，中证 1000 指数下跌-4.68%。市场风格方面，整月来看大盘股表现明显优于中小盘股。流动性方面，本月市场交投情绪趋弱，成交量大幅回落；分阶段看，上半旬市场延续强势行情，投资者情绪有所提升，下半旬随着疫情散发导致投资者情绪低迷，A 股市场出现回调；整月来看，两市日均成交额为 7,842.53 亿元，较上月下降-15.29%；沪、深两市换手率较上月明显走弱，环比分别下降-10.95%、-20.57%。波动率方面，本月沪深 300、中证 500、中证 1000 指数的波动水平均出现一定回落，三大数波动率来到今年中枢水平下方。 12 月大票指数整体企稳，中小票指数回调明显，A 股在月中出现震荡调整，市场流动性陷入低迷；得益于本月指数外个股获利能力较强，叠加量化略持仓高度分散的特点，在市场风格相对不利的情况下，取得一定幅度的超额收益。对冲成本部分，本月 IC 基差整体拉升，但短期内基差拓宽，对产品净值产生一定负面影响，扣除对冲成本后，产品整体盈利。 02. 市场展望 海外方面，美联储在 12 月如期加息 50 个基点，鹰派发言强调利率仍有上行空间，但美国 11 月通胀延续回落态势，通胀同比增速或已进入逐步回落的通道，展望 2023 年，美联储加息步伐放缓相对确定；此外，欧美相继推出新的产业计划，以应对疫后全球产业链供应链重塑，具有深远影响，但仍需关注全球金融稳定性及衰退的风险。国内方面，疫情防控政策进一步优化，12 月 PMI 数据下行深度较大，指向产需明显走弱，但随着部分城市疫情峰值压力的落地，疫情防控政策优化的效果正在显现，之前被抑制的部分消费需求开始释放；月中召开了中央经济工作会议，强调提振发展信心，推动整体经济好转和高质量发展。往后看，随着支持政策进一步向扩大内需和促进消费上倾斜，预计 2023 年消费恢复、内需扩大将成为确保经济回稳向上的重要力量。</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量化策略专户38号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23,053,505.59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兴银理财兴易睿享一年定期开放1号权益类理财产品2022年年度报告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051010100101318357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兴银理财兴易睿享一年定期开放1号权益类理财产品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