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兴银理财日日新1号净值型理财产品 </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兴银理财日日新1号净值型理财产品 </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36,117,772,941.53份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 + 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19,899,606,339.41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日日新1号B（新客专属）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7,716,026,927.05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4,869,945,357.02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200"/>
        <w:gridCol w:w="100"/>
        <w:gridCol w:w="1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兴银日日新1号（工行）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934,440,988.29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2,697,753,329.76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报告期内，9B310061七日年化收益率均值2.8672%，9B31006B七日年化收益率均值2.8692%，9B31006C七日年化收益率均值2.6498%，9B31006D七日年化收益率均值2.6740%，9B31006E七日年化收益率均值3.2445%。同期业绩比较基准如下：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4"/>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2022-12-09至2022-12-31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2022-12-26至2022-12-31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2022-12-28至2022-12-31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36,117,772,941.53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19,899,606,339.41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7,716,026,927.05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4,869,945,357.02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934,440,988.29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2,697,753,329.76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br/>
              <w:t xml:space="preserve">    李刚刚先生，清华大学工学学士、硕士，具有银行间本币市场交易员资格。2020年加入兴银理财从事理财产品投资组合管理工作，协助管理总规模逾千亿，善于大资金的资产配置和流动性管理。现担任“兴银理财添利8号净值型理财产品”和“兴银理财日日新1号净值型理财产品”投资经理助理。</w:t>
            </w: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本产品始终将保持流动性安全和防范信用风险作为第一要务，在此基础上通过稳健的投资风格实现相对有竞争力的收益。</w:t>
              <w:br/>
              <w:t xml:space="preserve">报告期内，本产品运作平稳，在过渡期内根据《关于规范现金管理类理财产品管理有关事项的通知》各项要求完成整改。四季度短端在市场调整后配置价值有所提升，我们结合产品负债情况适时加大了票息资产的配置力度，新增资产以同业存单、存放同业和高等级信用债为主。</w:t>
              <w:br/>
              <w:t xml:space="preserve">三 后期投资策略</w:t>
              <w:br/>
              <w:t xml:space="preserve">    下阶段，本产品仍然会坚持以安全性和流动性优先、兼顾收益性的稳健策略，综合考量各类资产的风险收益特征，根据市场情况灵活把握投资节奏。同时，我们会按照《关于规范现金管理类理财产品管理有关事项的通知》的相关要求，持续动态监控产品投资组合，保障产品合规、安全运作。</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6"/>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1,049,998,926.23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Z存放同业（线上）20220302001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830,038,918.92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Z存放同业（线上）20220916011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18鄂联投MTN001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20安踏体育MTN001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20江苏铁路GN001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20科伦(疫情防控债)MTN001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20潞安PPN001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20中化工MTN009A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21海通恒信PPN001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22万华化学CP007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22锡产业SCP019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22臻华2号ABN003优先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051010100101178786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47,661,528.91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40,003,297.14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0.0997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c>
          <w:tcPr>
     </w:tcPr>
          <w:p>
            <w:pPr>
              <w:pStyle w:val="EMPTY_CELL_STYLE"/>
            </w:pPr>
          </w:p>
        </w:tc>
      </w:tr>
      <w:tr>
        <w:trPr>
          <w:trHeight w:hRule="exact" w:val="4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