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兴银理财日日新2号净值型理财产品 </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br/>
              <w:t xml:space="preserve">     7. 理财份额投资人信息</w:t>
              <w:br/>
              <w:t xml:space="preserve">     8. 影响理财份额投资人决策的其他重要信息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兴银理财日日新2号净值型理财产品 </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9B310100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Z7002021000126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14,705,685,630.77份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通知存款七天 + 浮动基数0.00%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4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日日新2号A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9B31010A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5,051,123,679.90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兴银日日新2号B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9B31010B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9,480,028,485.29</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兴银日日新2号C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9B31010C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174,533,465.58</w:t>
                        </w:r>
                      </w:p>
                    </w:tc>
                  </w:tr>
                </w:tbl>
                <w:p>
                  <w:pPr>
                    <w:pStyle w:val="EMPTY_CELL_STYLE"/>
                  </w:pPr>
                </w:p>
              </w:tc>
            </w:tr>
          </w:tbl>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200"/>
        <w:gridCol w:w="100"/>
        <w:gridCol w:w="20"/>
        <w:gridCol w:w="1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60"/>
        </w:trPr>
        <w:tc>
          <w:tcPr>
     </w:tcPr>
          <w:p>
            <w:pPr>
              <w:pStyle w:val="EMPTY_CELL_STYLE"/>
            </w:pPr>
          </w:p>
        </w:tc>
        <w:tc>
          <w:tcPr>
            <w:gridSpan w:val="6"/>
            <w:tcMar>
              <w:top w:w="0" w:type="dxa"/>
              <w:left w:w="0" w:type="dxa"/>
              <w:bottom w:w="0" w:type="dxa"/>
              <w:right w:w="0" w:type="dxa"/>
            </w:tcMar>
            <w:vAlign w:val="center"/>
          </w:tcPr>
          <w:p>
            <w:pPr>
              <w:ind w:firstLine="0"/>
              <w:spacing w:lineRule="exact" w:line="320" w:after="0" w:before="0"/>
            </w:pPr>
            <w:r>
              <w:rPr>
                <w:rFonts w:ascii="宋体" w:hAnsi="宋体" w:eastAsia="宋体" w:cs="宋体"/>
                <w:color w:val="000000"/>
                <w:sz w:val="21"/>
              </w:rPr>
              <w:t xml:space="preserve">    报告期内，9B31010A七日年化收益率均值2.6754%，9B31010B七日年化收益率均值2.0829%，9B31010C七日年化收益率均值2.2029%。同期业绩比较基准如下：</w:t>
            </w:r>
          </w:p>
        </w:tc>
        <w:tc>
          <w:tcPr>
     </w:tcPr>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gridSpan w:val="5"/>
            <w:tcMar>
              <w:top w:w="0" w:type="dxa"/>
              <w:left w:w="0" w:type="dxa"/>
              <w:bottom w:w="0" w:type="dxa"/>
              <w:right w:w="0" w:type="dxa"/>
            </w:tcMar>
          </w:tcPr>
          <w:tbl>
            <w:tblPr>
              <w:tblLayout w:type="fixed"/>
            </w:tblPr>
            <w:tblGrid>
              <w:gridCol w:w="2000"/>
              <w:gridCol w:w="4000"/>
              <w:gridCol w:w="4600"/>
            </w:tblGrid>
            <w:tr>
              <w:trPr>
                <w:trHeight w:hRule="exact" w:val="600"/>
              </w:trPr>
              <w:tc>
                <w:tcPr>
                  <w:shd w:val="clear" w:color="auto" w:fill="AFAFA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适用期间</w:t>
                        </w: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业绩比较基准</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9B31010A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2022-01-01至2022-12-31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9B31010B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2022-06-28至2022-12-31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9B31010C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2022-10-28至2022-12-31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600"/>
                    <w:gridCol w:w="46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pPr>
            <w:r>
              <w:rPr>
                <w:rFonts w:ascii="宋体" w:hAnsi="宋体" w:eastAsia="宋体" w:cs="宋体"/>
                <w:color w:val="000000"/>
                <w:sz w:val="21"/>
              </w:rPr>
              <w:t xml:space="preserve">报告期末，产品收益具体如下：</w:t>
            </w: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2000"/>
              <w:gridCol w:w="2200"/>
              <w:gridCol w:w="1800"/>
              <w:gridCol w:w="2000"/>
              <w:gridCol w:w="27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万份收益</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七日年化收益率</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0.6763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2.3550%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14,705,685,630.77</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2000"/>
              <w:gridCol w:w="2200"/>
              <w:gridCol w:w="1800"/>
              <w:gridCol w:w="2000"/>
              <w:gridCol w:w="27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万份收益</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七日年化收益率</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0.7422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5,051,123,679.90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0.6408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2.2220%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9,480,028,485.29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0.6956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2.4230%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700"/>
                    <w:gridCol w:w="27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174,533,465.58</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汪锦女士，上海财经大学管理学学士、经济学硕士，国际金融理财师（CFP），中级经济师职称。银行理财产品创设、投资从业14年。 2008年任上海银行金融市场部同业“利多系列”产品投资经理；2013年加入兴业银行总行资产管理部历任同业“稳增1号”、“稳增2号”投资经理。2016年起，负责资产管理部流动性管理，管理总规模逾万亿，擅长大资金的资产配置和流动性管理；2019年转入兴银理财，现担任兴银理财添利9号、添利5号、添利10号、日日新2号和现金宝4号净值型理财产品投资经理。</w:t>
            </w:r>
          </w:p>
        </w:tc>
        <w:tc>
          <w:tcPr>
     </w:tcPr>
          <w:p>
            <w:pPr>
              <w:pStyle w:val="EMPTY_CELL_STYLE"/>
            </w:pPr>
          </w:p>
        </w:tc>
        <w:tc>
          <w:tcPr>
     </w:tcPr>
          <w:p>
            <w:pPr>
              <w:pStyle w:val="EMPTY_CELL_STYLE"/>
            </w:pPr>
          </w:p>
        </w:tc>
      </w:tr>
      <w:tr>
        <w:trPr>
          <w:trHeight w:hRule="exact" w:val="6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5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 宏观经济及市场情况</w:t>
              <w:br/>
              <w:t xml:space="preserve">    四季度疫情和地产政策均出现较大幅度调整，动摇债市做多的底层逻辑。尽管基本面各项数据维持弱势，在重预期轻现实的格局下，债市赎回负反馈带动各期限收益率均有所上行，债市情绪走弱。临近年末随着央行维稳资金面叠加理财赎回阶段性缓解，收益率有所修复。</w:t>
              <w:br/>
              <w:t xml:space="preserve">    展望后市，随着负债端理财负反馈压力缓解、新冠防控政策优化后第一波感染达峰，市场有望一定程度上向交易“弱现实”靠拢。稳增长背景下货币政策为宽信用保驾护航的宽松逻辑并未改变，“稳健的货币政策更加灵活适度”。整体而言短端市场在调整后赔率有所改善，警惕基本面复苏带来的波动压力，关注经济修复的节奏和信贷数</w:t>
            </w: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据体现。</w:t>
              <w:br/>
              <w:t xml:space="preserve">二 前期运作回顾</w:t>
              <w:br/>
              <w:t xml:space="preserve">    本产品始终将保持流动性安全和防范信用风险作为第一要务，在此基础上通过稳健的投资风格实现相对有竞争力的收益。</w:t>
              <w:br/>
              <w:t xml:space="preserve">    报告期内，本产品规模上涨较快，并根据《关于规范现金管理类理财产品管理有关事项的通知》各项要求进行运作。在11月债市经历较大调整时，结合产品负债情况适时加大了资产的配置力度，新增以同业存单、存放同业和高等级信用债为主的各类资产。同时，在年末增加跨年逆回购的融出，保证了产品收益的竞争力。</w:t>
              <w:br/>
              <w:t xml:space="preserve">三 后期投资策略</w:t>
              <w:br/>
              <w:t xml:space="preserve">    下阶段，本产品仍然会坚持以安全性和流动性优先、兼顾收益性的稳健策略，综合考量各类资产的风险收益特征，根据市场情况灵活把握投资节奏。同时，我们会按照《关于规范现金管理类理财产品管理有关事项的通知》的相关要求，持续动态监控产品投资组合，保障产品合规、安全运作。</w:t>
            </w:r>
          </w:p>
        </w:tc>
        <w:tc>
          <w:tcPr>
     </w:tcPr>
          <w:p>
            <w:pPr>
              <w:pStyle w:val="EMPTY_CELL_STYLE"/>
            </w:pPr>
          </w:p>
        </w:tc>
        <w:tc>
          <w:tcPr>
     </w:tcPr>
          <w:p>
            <w:pPr>
              <w:pStyle w:val="EMPTY_CELL_STYLE"/>
            </w:pPr>
          </w:p>
        </w:tc>
      </w:tr>
      <w:tr>
        <w:trPr>
          <w:trHeight w:hRule="exact" w:val="2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8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2022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4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2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14.27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65.22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Borders>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报告期末本产品总资产未超过该产品净资产规模的120%，符合产品协议对本产品杠杆比例的要求。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54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721,953,120.00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522,000,983.00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建设银行活期存款（北京）</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Z存放同业（线上）20221216002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Z存放同业（线上）20221108019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18深建01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260,483,279.17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22CSFD59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239,988,151.28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22CSFD75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229,986,847.28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1.56</w:t>
                        </w:r>
                      </w:p>
                    </w:tc>
                  </w:tr>
                </w:tbl>
                <w:p>
                  <w:pPr>
                    <w:pStyle w:val="EMPTY_CELL_STYLE"/>
                  </w:pPr>
                </w:p>
              </w:tc>
            </w:tr>
          </w:tbl>
          <w:p>
            <w:pPr>
              <w:pStyle w:val="EMPTY_CELL_STYLE"/>
            </w:pPr>
          </w:p>
        </w:tc>
        <w:tc>
          <w:tcPr>
     </w:tcPr>
          <w:p>
            <w:pPr>
              <w:pStyle w:val="EMPTY_CELL_STYLE"/>
            </w:pPr>
          </w:p>
        </w:tc>
      </w:tr>
      <w:tr>
        <w:trPr>
          <w:trHeight w:hRule="exact" w:val="3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20财通F1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200,078,381.38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Z存放同业（线上）20220523001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1.36</w:t>
                        </w:r>
                      </w:p>
                    </w:tc>
                  </w:tr>
                </w:tbl>
                <w:p>
                  <w:pPr>
                    <w:pStyle w:val="EMPTY_CELL_STYLE"/>
                  </w:pPr>
                </w:p>
              </w:tc>
            </w:tr>
          </w:tbl>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20常城建PPN003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20东方债02BC</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20金圆投资MTN002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21中色MTN002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22鄂交投SCP002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22广州医药SCP001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22杭金投SCP010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22河南资产SCP003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22昆山高新SCP009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22闽漳龙SCP003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22泉州文旅SCP001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22厦国贸控SCP008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22湘高速CP002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22湘高速CP004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9B310100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22一方绿城ABN001优先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00"/>
        <w:gridCol w:w="16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051010100101214830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兴银理财日日新2号净值型理财产品</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8"/>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7.理财份额投资人信息</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8"/>
            <w:tcMar>
              <w:top w:w="0" w:type="dxa"/>
              <w:left w:w="0" w:type="dxa"/>
              <w:bottom w:w="0" w:type="dxa"/>
              <w:right w:w="0" w:type="dxa"/>
            </w:tcMar>
            <w:vAlign w:val="center"/>
          </w:tcPr>
          <w:p>
            <w:pPr>
              <w:ind/>
              <w:jc w:val="left"/>
            </w:pPr>
            <w:r>
              <w:rPr>
                <w:rFonts w:ascii="宋体" w:hAnsi="宋体" w:eastAsia="宋体" w:cs="宋体"/>
                <w:color w:val="000000"/>
                <w:sz w:val="20"/>
              </w:rPr>
              <w:t xml:space="preserve"> 7.1期末现金管理类产品前十大份额投资人情况</w:t>
            </w:r>
          </w:p>
        </w:tc>
        <w:tc>
          <w:tcPr>
     </w:tcPr>
          <w:p>
            <w:pPr>
              <w:pStyle w:val="EMPTY_CELL_STYLE"/>
            </w:pPr>
          </w:p>
        </w:tc>
      </w:tr>
      <w:tr>
        <w:trPr>
          <w:trHeight w:hRule="exact" w:val="66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400"/>
              <w:gridCol w:w="3200"/>
              <w:gridCol w:w="3200"/>
              <w:gridCol w:w="3000"/>
            </w:tblGrid>
            <w:tr>
              <w:trPr>
                <w:trHeight w:hRule="exact" w:val="600"/>
              </w:trPr>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投资者类别</w:t>
                        </w: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持有份额（份）</w:t>
                        </w: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占总份额占比（%）</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46,447,066.97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0.3159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38,133,869.10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0.2594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27,672,105.37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0.1882</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21,829,858.11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0.1485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21,257,331.51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0.1446</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20,668,169.46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0.1406</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20,206,381.45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0.1374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20,157,167.73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0.1371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20,040,983.45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0.1363</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400"/>
                    <w:gridCol w:w="1400"/>
                  </w:tblGrid>
                  <w:tr>
                    <w:trPr>
                      <w:trHeight w:hRule="atLeast" w:val="580"/>
                    </w:trPr>
                    <w:tc>
                      <w:tcPr>
                        <w:tcBorders>
                          <w:left w:val="single" w:sz="8" w:space="0" w:color="000000"/>
                        </w:tcBorders>
                        <w:tcMar>
                          <w:top w:w="20" w:type="dxa"/>
                          <w:left w:w="20" w:type="dxa"/>
                          <w:bottom w:w="20" w:type="dxa"/>
                          <w:right w:w="2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个人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200"/>
                    <w:gridCol w:w="3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20,039,929.08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0.1363</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8.影响理财份额投资人决策的其他重要信息</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center"/>
          </w:tcPr>
          <w:p>
            <w:pPr>
              <w:ind/>
              <w:jc w:val="left"/>
            </w:pPr>
            <w:r>
              <w:rPr>
                <w:rFonts w:ascii="宋体" w:hAnsi="宋体" w:eastAsia="宋体" w:cs="宋体"/>
                <w:color w:val="000000"/>
                <w:sz w:val="20"/>
              </w:rPr>
              <w:t xml:space="preserve"> 8.1报告期内单一投资者持有产品份额达到或者超过该产品总份额20%的情形</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8"/>
            <w:tcMar>
              <w:top w:w="0" w:type="dxa"/>
              <w:left w:w="0" w:type="dxa"/>
              <w:bottom w:w="0" w:type="dxa"/>
              <w:right w:w="0" w:type="dxa"/>
            </w:tcMar>
          </w:tcPr>
          <w:tbl>
            <w:tblPr>
              <w:tblLayout w:type="fixed"/>
            </w:tblPr>
            <w:tblGrid>
              <w:gridCol w:w="11000"/>
              <w:gridCol w:w="11000"/>
            </w:tblGrid>
            <w:tr>
              <w:trPr>
                <w:trHeight w:hRule="exact" w:val="600"/>
              </w:trPr>
              <w:tc>
                <w:tcPr>
                  <w:shd w:val="clear" w:color="auto" w:fill="FFFFFF"/>
                  <w:tcMar>
                    <w:top w:w="0" w:type="dxa"/>
                    <w:left w:w="0" w:type="dxa"/>
                    <w:bottom w:w="0" w:type="dxa"/>
                    <w:right w:w="0" w:type="dxa"/>
                  </w:tcMar>
                </w:tcPr>
                <w:tbl>
                  <w:tblPr>
                    <w:tblLayout w:type="fixed"/>
                  </w:tblPr>
                  <w:tblGrid>
                    <w:gridCol w:w="11000"/>
                    <w:gridCol w:w="11000"/>
                  </w:tblGrid>
                  <w:tr>
                    <w:trPr>
                      <w:trHeight w:hRule="atLeast" w:val="600"/>
                    </w:trPr>
                    <w:tc>
                      <w:tcPr>
                        <w:tcMar>
                          <w:top w:w="0" w:type="dxa"/>
                          <w:left w:w="0" w:type="dxa"/>
                          <w:bottom w:w="0" w:type="dxa"/>
                          <w:right w:w="0" w:type="dxa"/>
                        </w:tcMar>
                        <w:vAlign w:val="center"/>
                      </w:tcPr>
                      <w:p>
                        <w:pPr>
                          <w:ind/>
                          <w:jc w:val="left"/>
                        </w:pPr>
                        <w:r>
                          <w:rPr>
                            <w:rFonts w:ascii="宋体" w:hAnsi="宋体" w:eastAsia="宋体" w:cs="宋体"/>
                            <w:color w:val="000000"/>
                            <w:sz w:val="21"/>
                          </w:rPr>
                          <w:t xml:space="preserve">    本产品本报告期无单一投资者持有产品份额达到或者超过该产品总份额20%的情形。</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8" w:name="JR_PAGE_ANCHOR_0_9"/>
            <w:bookmarkEnd w:id="8"/>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兴银理财日日新2号净值型理财产品 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r>
      <w:tr>
        <w:trPr>
          <w:trHeight w:hRule="exact" w:val="12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9/</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9</w:t>
            </w:r>
          </w:p>
        </w:tc>
        <w:tc>
          <w:tcPr>
     </w:tcPr>
          <w:p>
            <w:pPr>
              <w:pStyle w:val="EMPTY_CELL_STYLE"/>
            </w:pPr>
          </w:p>
        </w:tc>
        <w:tc>
          <w:tcPr>
     </w:tcPr>
          <w:p>
            <w:pPr>
              <w:pStyle w:val="EMPTY_CELL_STYLE"/>
            </w:pPr>
          </w:p>
        </w:tc>
      </w:tr>
    </w:tbl>
    <w:sectPr>
      <w:pgSz w:w="11900" w:h="16840" w:orient="portrait"/>
      <w:pgMar w:top="600" w:right="6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