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兴业银行现金宝（1号）人民币理财计划</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理财份额投资人信息</w:t>
              <w:br/>
              <w:t xml:space="preserve">     8.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兴业银行现金宝（1号）人民币理财计划</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07010011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Z7002021000253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79,096,213,663.97份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报告期内，07010011七日年化收益率均值2.7131%。同期业绩比较基准如下：</w:t>
            </w: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2022-01-01至2022-12-31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0.7031</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2.5860%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79,096,213,663.97</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陈施颖女士，清华大学理学学士、金融学硕士，中级经济师，8年固定收益市场投资交易经验。2013年加入兴业银行，历任货币市场交易员、债券投资经理、理财产品组合投资经理，2020年加入兴银理财，担任现金管理投资经理，善于大组合的资产配置和流动性管理。现任“兴业银行金雪球添利快线净值型理财产品”、兴业银行-添利1号”净值型理财产品、兴业银行现金宝（1号）人民币理财计划、兴银理财添利8号净值型理财产品、兴银理财日日新1号净值型理财产品、添利天天宝系列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9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四季度疫情和地产政策均出现较大幅度调整，动摇债市做多的底层逻辑。尽管基本面各项数据维持弱势，在重预期轻现实的格局下，债市赎回负反馈带动各期限收益率均有所上行，债市情绪走弱。临近年末随着央行维稳资金面叠加理财赎回阶段性缓解，收益率有所修复。</w:t>
              <w:br/>
              <w:t xml:space="preserve">    展望后市，随着负债端理财负反馈压力缓解、新冠防控政策优化后第一波感染达峰，市场有望一定程度上向交易“弱现实”靠拢。稳增长背景下货币政策为宽信用保驾护航的宽松逻辑并未改变，“稳健的货币政策更加灵活适度”。整体而言短端市场在调整后赔率有所改善，警惕基本面复苏带来的波动压力，关注经济修复的节奏和信贷数据体现。</w:t>
              <w:br/>
              <w:t xml:space="preserve">二 前期运作回顾</w:t>
              <w:br/>
              <w:t xml:space="preserve">    本产品始终将保持流动性安全和防范信用风险作为第一要务，在此基础上通过稳健的投资风格实现相对稳定的收益。报告期内，本产品严格按照《关于规范现金管理类理财产品管理有关事项的通知》各项要求进行运作。资产配置方面，11月债市经历较大调整后短端收益率具备了一定的投资价值，我们结合产品申购情况加大了资产的配置力度，新增资产以同业存单、存放同业和高等级信用债为主，积极把握配置机会，提升产品静态收益。得益于此，报告期内产品保持净申购态势，产品规模稳步增加。流动性管理方面，我们提前布局关键时点，在保障产品安全运作的前提下融出适当比例的跨年逆回购，进一步提升产品收益的竞争力。</w:t>
              <w:br/>
              <w:t xml:space="preserve">三 后期投资策略</w:t>
              <w:br/>
              <w:t xml:space="preserve">    下阶段，本产品仍然会坚持以安全性和流动性优先、兼顾收益性的稳健策略，综合考量各类资产的风险收益特征，根据市场情况灵活把握投资节奏。在即将到来的春节、季度末等关键时点，提前布局产品流动性，保障产品运作安全。同时，我们会按照《关于规范现金管理类理财产品管理有关事项的通知》的相关要求，持续动态监控产品投资组合，保障产品合规、安全运作。</w:t>
              <w:br/>
            </w: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8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r>
      <w:tr>
        <w:trPr>
          <w:trHeight w:hRule="exact" w:val="1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建设银行活期存款（北京）</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农业银行昆明分行活期存款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20中国信达债02BC(品种一)</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1,159,822,043.57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存放同业20210314002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Z存放同业（线上）20221018002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Z存放同业（线上）20221223005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存放同业20220214001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存放同业20220916006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w:t>
                        </w:r>
                      </w:p>
                    </w:tc>
                  </w:tr>
                </w:tbl>
                <w:p>
                  <w:pPr>
                    <w:pStyle w:val="EMPTY_CELL_STYLE"/>
                  </w:pPr>
                </w:p>
              </w:tc>
            </w:tr>
          </w:tbl>
          <w:p>
            <w:pPr>
              <w:pStyle w:val="EMPTY_CELL_STYLE"/>
            </w:pPr>
          </w:p>
        </w:tc>
        <w:tc>
          <w:tcPr>
     </w:tcPr>
          <w:p>
            <w:pPr>
              <w:pStyle w:val="EMPTY_CELL_STYLE"/>
            </w:pPr>
          </w:p>
        </w:tc>
      </w:tr>
      <w:tr>
        <w:trPr>
          <w:trHeight w:hRule="exact" w:val="3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18滁州城投MTN001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18赣国资MTN002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18华润置地MTN002B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18冀港集MTN002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18九龙江MTN003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18闽漳龙MTN001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18余姚城投MTN002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18豫交投MTN001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18越秀金融MTN001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18越秀金融MTN002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18越秀金融MTN003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18中国航材MTN001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20百联集MTN001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20滁州城投PPN001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20东方债02BC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20东南国资MTN001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20江北新区MTN002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20鲁能源MTN002A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20闽漳龙PPN001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20南昌城投PPN001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20南京医药MTN002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20南通城建MTN002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20南通沿海MTN001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20平安不动MTN002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20泉州城建MTN001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20山煤MTN002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20陕延油MTN003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20苏沙钢MTN001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20太不锈MTN001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20天成租赁GN001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20天成租赁GN002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20中国信达债02BC(品种一)</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20中交城投MTN002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21鄂长投MTN001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21浙商资产PPN001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22百业源CP001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22大唐新能1ABN004优先(碳中和债)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22鄂交投SCP002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22海江投资SCP001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22汇融臻华1ABN003优先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兴业银行股份有限公司,兴业证券股份有限公司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22济南高新SCP008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22建安投资CP001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22胶州城投SCP002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22临海国投PPN001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22明珠悦汇ABN004优先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22宁河西CP002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22青岛西海SCP001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22上实SCP004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22深业SCP004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22桐昆SCP006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22万华化学CP006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22吴中国太SCP004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22西安投资SCP002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22锡产业SCP019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22厦路桥SCP007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22兴湘投资SCP001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22远东绿色ABN002优先A1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19,437,600.00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22悦汇ABN003优先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22张家城投SCP002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00"/>
        <w:gridCol w:w="200"/>
        <w:gridCol w:w="1"/>
      </w:tblGrid>
      <w:tr>
        <w:trPr>
          <w:trHeight w:hRule="exact" w:val="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兴业银行现金宝（1号）人民币理财计划2022年年度报告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07010011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Z存放同业(线上)20221223005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051010100100004465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兴业银行股份有限公司理财产品托管专户</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7.理财份额投资人信息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7.1期末现金管理类产品前十大份额投资人情况</w:t>
            </w:r>
          </w:p>
        </w:tc>
        <w:tc>
          <w:tcPr>
     </w:tcPr>
          <w:p>
            <w:pPr>
              <w:pStyle w:val="EMPTY_CELL_STYLE"/>
            </w:pPr>
          </w:p>
        </w:tc>
      </w:tr>
      <w:tr>
        <w:trPr>
          <w:trHeight w:hRule="exact" w:val="6600"/>
        </w:trPr>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持有份额（份）</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占总份额占比（%）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1,004,616,201.71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1.2707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133,541,834.05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0.1689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120,793,126.26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0.1528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100,150,751.45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0.1267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99,787,702.88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0.1262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97,956,020.22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0.1239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80,018,512.09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0.1012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75,442,879.70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0.0954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74,352,203.54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0.0940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个人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74,067,868.51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0.0937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10/</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300"/>
        <w:gridCol w:w="1"/>
      </w:tblGrid>
      <w:tr>
        <w:trPr>
          <w:trHeight w:hRule="exact" w:val="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兴业银行现金宝（1号）人民币理财计划2022年年度报告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8.影响理财份额投资人决策的其他重要信息</w:t>
            </w: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0"/>
              </w:rPr>
              <w:t xml:space="preserve"> 8.1报告期内单一投资者持有产品份额达到或者超过该产品总份额20%的情形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1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11</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