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兴银理财万汇通1号J款美元净值型理财产品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兴银理财万汇通1号J款美元净值型理财产品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9W210100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10,444,193.76份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万汇通汇盈1号J款A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9W21010A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6,595,084.56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万汇通汇盈1号J款B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9W21010B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3,849,109.20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产品9W21010A自成立日以来，累计净值增长率为-1.6040%，年化累计净值增长率为-1.2378%。</w:t>
              <w:br/>
              <w:t xml:space="preserve">产品9W21010B自成立日以来，累计净值增长率为-1.5370%，年化累计净值增长率为-1.1861%。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0.98320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10,268,737.91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0.98309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0.98396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6,483,547.50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0.98339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3,785,190.41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海外固收资产表现不佳，主要是美国通胀创近40年新高，美联储开启加息，导致全球资金流出美债等固收资产。经过全年425bp的加息后，通胀于年底终于被控制，联储释放鸽派信号，市场一致认为加息临近尾声，通胀见顶走低。</w:t>
              <w:br/>
              <w:t xml:space="preserve">    2022年全年操作以保守为主，并确保流动性充足以应对产品打开兑付压力。全年无净新增资金投资，存量到期资产配置年内到期的短久期资产，以降低加息对产品净值的负面影响。年底随着美债收益率触顶下行，产品净值企稳反弹。2023年组合将适当拉长久期，并做好产品流动性管理。</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7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Z存放同业20221014002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1,999,600.21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961,537.50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ICBCAS511/16/23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802,048.00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HNYUZI3.207/06/26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752,156.50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HZCONI3.1507/30/23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KMRLGP3.912/12/24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571,500.00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554,526.00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CDNFNA4.6505/07/24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489,065.00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459,093.80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395,832.00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兴银理财万汇通1号J款美元净值型理财产品2022年年度报告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HNFARM302/03/24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HNYUZI3.207/06/26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HZCONI2.8501/25/25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Z存放同业20221014002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216201400100274312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兴银理财万汇通1号J款美元净值型理财产品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