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35,960.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35,960.9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2.8710%，年化累计净值增长率为-3.52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9,696.3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9,69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33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9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29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3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