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兴银理财天天万利宝稳利3号净值型理财产品T款</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兴银理财天天万利宝稳利3号净值型理财产品T款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9K212017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Z7002020000064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419,489,941.11份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中债-新综合财富（1年以下）指数收益率×75%+沪深300指数收益率×25%/--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产品9K212017自成立日以来，累计净值增长率为10.5180%，年化累计净值增长率为3.2180%。</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1.04518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1.10518</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438,442,744.29</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周宇先生，复旦大学金融学硕士、北京大学金融学学士，10年FOF/MOM从业经验。曾任工商银行私人银行部权益投资经理，2016年加入兴业银行，现任兴银理财权益投资部投资经理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上半年权益市场先扬后抑，半年度整体看指数持平，基金平均水平是下跌的。债券市场则整体表现较好。年初判断未来市场大概率震荡向上，而实际市场表现低于年初预计，震荡向上的曲折度也高于前期预期。在权益市场结构方面，上半年最大的胜负手在于3月中旬前对于TMT以及中特估的配置仓位，其余包括消费、医药、新能源等资产均出现了一定幅度下跌。</w:t>
              <w:br/>
              <w:t xml:space="preserve">    在上半年操作上，权益仓位整体维持在中枢以上的较高水平，并没有太大的仓位变化。在行业结构方面积极进行调整，3月开始在TMT和中特估各自回调时积极加仓把握机会，5-6月当时认为市场对于宏观经济定价过于悲观，从5月末开始逐步偏向顺周期行业，增加消费、出行、地产和地产链等配置。在基金产品上。回避景气打法的基金经理，回避规模较大且过去业绩好的基金经理（容易钝化），切换至主题投资能力强、灵活度较高的基金经理，增加配置选股能力优秀的价值投资经理。</w:t>
              <w:br/>
              <w:t xml:space="preserve">    展望后期，经济整体处在主动去库存至被动去库存的中间阶段，后续将开启数个季度的盈利增速上行周期，当前权益市场整体估值水平较低，向下空间有限。权益市场当前有较好投资机会。在结构配置方面，全年整体维持不追高的策略，并在此基础上密切关注顺周期和TMT各自的阶段性配置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9"/>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r>
      <w:tr>
        <w:trPr>
          <w:trHeight w:hRule="atLeast" w:val="10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农行优2（农业银行优先股）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19,402,437.65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12,273,828.22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华安鼎丰债券型发起式证券投资基金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10,100,035.81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华泰柏瑞季季红债券型证券投资基金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10,094,505.01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国投瑞银恒泽中短债债券型证券投资基金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10,093,198.21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建信鑫悦90天滚动持有中短债债券型发起式证券投资基金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10,092,457.42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招商鑫悦中短债债券型证券投资基金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10,084,187.51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华夏短债债券型证券投资基金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10,073,626.54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鹏华金利债券型证券投资基金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10,064,469.04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鹏扬浦利中短债债券型证券投资基金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10,061,966.00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w:t>
                        </w:r>
                      </w:p>
                    </w:tc>
                  </w:tr>
                </w:tbl>
                <w:p>
                  <w:pPr>
                    <w:pStyle w:val="EMPTY_CELL_STYLE"/>
                  </w:pPr>
                </w:p>
              </w:tc>
            </w:tr>
          </w:tbl>
          <w:p>
            <w:pPr>
              <w:pStyle w:val="EMPTY_CELL_STYLE"/>
            </w:pPr>
          </w:p>
        </w:tc>
        <w:tc>
          <w:tcPr>
     </w:tcPr>
          <w:p>
            <w:pPr>
              <w:pStyle w:val="EMPTY_CELL_STYLE"/>
            </w:pPr>
          </w:p>
        </w:tc>
      </w:tr>
      <w:tr>
        <w:trPr>
          <w:trHeight w:hRule="exact" w:val="2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兴银理财天天万利宝稳利3号净值型理财产品T款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051010100100994764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兴银理财天天万利宝稳利3号净值型理财产品T款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