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兴银理财灵动全天候2号净值型理财产品2023年第二季度报告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兴银理财灵动全天候2号净值型理财产品</w:t>
              <w:br/>
              <w:t xml:space="preserve">2023年第二季度报告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报告送出日期：2023年7月21日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兴银理财灵动全天候2号净值型理财产品2023年第二季度报告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740"/>
        <w:gridCol w:w="1260"/>
        <w:gridCol w:w="2000"/>
        <w:gridCol w:w="3300"/>
        <w:gridCol w:w="2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兴银理财灵动全天候2号净值型理财产品2023年第二季度报告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兴银理财灵动全天候2号净值型理财产品</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9K212052</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Z7002020000181</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161,667,626.8份</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R3</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c>
          <w:tcPr>
     </w:tcPr>
          <w:p>
            <w:pPr>
              <w:pStyle w:val="EMPTY_CELL_STYLE"/>
            </w:pPr>
          </w:p>
        </w:tc>
      </w:tr>
      <w:tr>
        <w:trPr>
          <w:trHeight w:hRule="atLeast" w:val="7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业绩比较基准¹/业绩报酬计提基准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9K212152：2.00%--6.00%/6.00%</w:t>
              <w:br/>
              <w:t xml:space="preserve">  9K212252：2.00%--6.00%/6.00%</w:t>
              <w:br/>
              <w:t xml:space="preserve">  9K212352：2.00%--6.00%/6.00%</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灵动陆陆通1号A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9K212152</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142,391,208.80</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灵动陆陆通1号B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9K212252</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19,276,418.00</w:t>
                        </w:r>
                      </w:p>
                    </w:tc>
                  </w:tr>
                </w:tbl>
                <w:p>
                  <w:pPr>
                    <w:pStyle w:val="EMPTY_CELL_STYLE"/>
                  </w:pPr>
                </w:p>
              </w:tc>
            </w:tr>
          </w:tbl>
          <w:p>
            <w:pPr>
              <w:pStyle w:val="EMPTY_CELL_STYLE"/>
            </w:pPr>
          </w:p>
        </w:tc>
        <w:tc>
          <w:tcPr>
     </w:tcPr>
          <w:p>
            <w:pPr>
              <w:pStyle w:val="EMPTY_CELL_STYLE"/>
            </w:pPr>
          </w:p>
        </w:tc>
      </w:tr>
      <w:tr>
        <w:trPr>
          <w:trHeight w:hRule="exact" w:val="5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兴银理财灵动全天候2号净值型理财产品2023年第二季度报告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7"/>
            <w:tcMar>
              <w:top w:w="0" w:type="dxa"/>
              <w:left w:w="0" w:type="dxa"/>
              <w:bottom w:w="0" w:type="dxa"/>
              <w:right w:w="0" w:type="dxa"/>
            </w:tcMar>
            <w:vAlign w:val="top"/>
          </w:tcPr>
          <w:p>
            <w:pPr>
              <w:ind/>
            </w:pPr>
            <w:r>
              <w:rPr>
                <w:rFonts w:ascii="宋体" w:hAnsi="宋体" w:eastAsia="宋体" w:cs="宋体"/>
                <w:color w:val="000000"/>
                <w:sz w:val="16"/>
              </w:rPr>
              <w:t xml:space="preserve">注:业绩比较基准指管理人综合考虑市场环境、产品性质、投资策略、过往表现等因素，对理财产品设置的投资目标和相关解释说明。业绩比较基准不代表理财产品未来表现，不等于理财产品实际收益，不作为产品收益的业绩保证，投资须谨慎。</w:t>
            </w:r>
          </w:p>
        </w:tc>
        <w:tc>
          <w:tcPr>
     </w:tcPr>
          <w:p>
            <w:pPr>
              <w:pStyle w:val="EMPTY_CELL_STYLE"/>
            </w:pPr>
          </w:p>
        </w:tc>
        <w:tc>
          <w:tcPr>
     </w:tcPr>
          <w:p>
            <w:pPr>
              <w:pStyle w:val="EMPTY_CELL_STYLE"/>
            </w:pPr>
          </w:p>
        </w:tc>
      </w:tr>
      <w:tr>
        <w:trPr>
          <w:trHeight w:hRule="exact" w:val="8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产品9K212152自成立日以来，累计净值增长率为7.6400%，年化累计净值增长率为2.8397%。</w:t>
              <w:br/>
              <w:t xml:space="preserve">产品9K212252自成立日以来，累计净值增长率为7.9220%，年化累计净值增长率为2.9445%。</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9K212052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1.07674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1.07674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174,073,568.12</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9K212152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1.07640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1.07640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153,270,130.34</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9K212252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1.07922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1.07922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20,803,437.78</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严泓，复旦大学数学系本科+经济学硕士，金融投资专业领域从业12年，具备丰富的多资产领域投资经验和广阔的全球宏观对冲视野。历任国内大型金融机构和顶尖私募对冲基金投资经理、合伙人，独立管理账户和产品超过10年，业绩表现优异。投资理念坚持自上而下和自下而上结合，把握宏观趋势结合微观结构，善于利于基本面和量化策略进行大类资产配置，注重绝对收益。</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2023年上半年，权益市场方面，整体呈现震荡的态势，结构分化严重；债市在去年四季度大幅调整之后快速修复，体现债市对后期经济基本面的悲观预期。本报告期内，本组合积极调整债券持仓，利用利率衍生品对冲久期风险（未来可能利率上行风险），此外对权益资产进行积极调整行业结构，存量市场博弈下重结构轻仓位。本组合净值在本报告期内相对表现较好。展望今年，内外部环境都边际好转，有利于资产价格，中长期看好权益市场，债市收益率偏震荡重视票息策略。本组合将继续积极主动管理好大类资产的配置策略并精细化选择类属资产。</w:t>
            </w:r>
          </w:p>
        </w:tc>
        <w:tc>
          <w:tcPr>
     </w:tcPr>
          <w:p>
            <w:pPr>
              <w:pStyle w:val="EMPTY_CELL_STYLE"/>
            </w:pPr>
          </w:p>
        </w:tc>
        <w:tc>
          <w:tcPr>
     </w:tcPr>
          <w:p>
            <w:pPr>
              <w:pStyle w:val="EMPTY_CELL_STYLE"/>
            </w:pPr>
          </w:p>
        </w:tc>
        <w:tc>
          <w:tcPr>
     </w:tcPr>
          <w:p>
            <w:pPr>
              <w:pStyle w:val="EMPTY_CELL_STYLE"/>
            </w:pPr>
          </w:p>
        </w:tc>
      </w:tr>
      <w:tr>
        <w:trPr>
          <w:trHeight w:hRule="exact" w:val="17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兴银理财灵动全天候2号净值型理财产品2023年第二季度报告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8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28.23</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同业存单</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拆放同业及债券买入返售</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56.41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63.76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40.48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18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20南新03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10,438,186.30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22晋焦煤MTN002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10,193,473.70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5.86</w:t>
                        </w:r>
                      </w:p>
                    </w:tc>
                  </w:tr>
                </w:tbl>
                <w:p>
                  <w:pPr>
                    <w:pStyle w:val="EMPTY_CELL_STYLE"/>
                  </w:pPr>
                </w:p>
              </w:tc>
            </w:tr>
          </w:tbl>
          <w:p>
            <w:pPr>
              <w:pStyle w:val="EMPTY_CELL_STYLE"/>
            </w:pPr>
          </w:p>
        </w:tc>
        <w:tc>
          <w:tcPr>
     </w:tcPr>
          <w:p>
            <w:pPr>
              <w:pStyle w:val="EMPTY_CELL_STYLE"/>
            </w:pPr>
          </w:p>
        </w:tc>
      </w:tr>
      <w:tr>
        <w:trPr>
          <w:trHeight w:hRule="exact" w:val="1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兴银理财灵动全天候2号净值型理财产品2023年第二季度报告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8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22滁州城投CP001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10,148,178.36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23良渚文化SCP001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10,070,664.81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23国债10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8,544,761.12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21宁投01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5,247,590.69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20如东02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5,193,541.30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21金港MTN003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5,190,700.21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20北城01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5,170,525.75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20北仑02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5,168,160.00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2.97</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24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21晋陵01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华福证券有限责任公司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22滁州城投CP001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22晋焦煤MTN002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兴银理财灵动全天候2号净值型理财产品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19.47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销售服务费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兴银理财灵动全天候2号净值型理财产品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兴银理财灵动全天候2号净值型理财产品2023年第二季度报告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051010100101097621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兴银理财灵动全天候2号净值型理财产品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2023年7月21日</w:t>
            </w:r>
          </w:p>
        </w:tc>
        <w:tc>
          <w:tcPr>
     </w:tcPr>
          <w:p>
            <w:pPr>
              <w:pStyle w:val="EMPTY_CELL_STYLE"/>
            </w:pPr>
          </w:p>
        </w:tc>
        <w:tc>
          <w:tcPr>
     </w:tcPr>
          <w:p>
            <w:pPr>
              <w:pStyle w:val="EMPTY_CELL_STYLE"/>
            </w:pPr>
          </w:p>
        </w:tc>
      </w:tr>
      <w:tr>
        <w:trPr>
          <w:trHeight w:hRule="exact" w:val="11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