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468,991,701.72份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9K212156：3.00%--6.50%/6.50%</w:t>
              <w:br/>
              <w:t xml:space="preserve">  9K212256：3.00%--6.50%/6.50%</w:t>
              <w:br/>
              <w:t xml:space="preserve">  9K212356：3.00%--6.50%/6.50%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398,172,041.86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70,819,659.86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产品9K212156自成立日以来，累计净值增长率为7.5410%，年化累计净值增长率为2.9250%。</w:t>
              <w:br/>
              <w:t xml:space="preserve">产品9K212256自成立日以来，累计净值增长率为7.8910%，年化累计净值增长率为3.0608%。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504,606,137.80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428,197,893.79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76,408,244.01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万联证券鑫联鑫157期保本固定收益凭证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202,413,909.85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30,009,281.94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21广越07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20,967,143.84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21两江02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20,940,350.14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20,626,521.92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10,770,007.81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22东兴投资ABN001优先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10,476,973.42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10,395,132.60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10,355,981.37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10,303,012.05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22东兴投资ABN001优先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兴业期货-兴星睿选管理人中管理人（MOM）1号集合资产管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