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兴银理财日日新1号净值型理财产品 </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br/>
              <w:t xml:space="preserve">     7. 影响理财份额投资人决策的其他重要信息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兴银理财日日新1号净值型理财产品 </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9B310060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73,795,884,056.55份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0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18,678,872,143.77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日日新1号B（新客专属）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7,452,233,076.17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8,360,911,899.29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兴银日日新1号（工行）</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18,788,720,841.72</w:t>
                        </w:r>
                      </w:p>
                    </w:tc>
                  </w:tr>
                </w:tbl>
                <w:p>
                  <w:pPr>
                    <w:pStyle w:val="EMPTY_CELL_STYLE"/>
                  </w:pPr>
                </w:p>
              </w:tc>
            </w:tr>
          </w:tbl>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4"/>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日日新1号E</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9B31006E</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12,131,643,330.45</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日日新1号F</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9B31006F</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4,100,592,984.72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日日新1号G</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9B31006G</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87,746,069.12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日日新1号I</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9B31006I</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259,413,340.27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兴银日日新1号J</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9B31006J</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497,751.99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兴银理财日日新1号（私银 ）</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9B3100GS</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3,935,252,619.05</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4"/>
            <w:tcMar>
              <w:top w:w="0" w:type="dxa"/>
              <w:left w:w="0" w:type="dxa"/>
              <w:bottom w:w="0" w:type="dxa"/>
              <w:right w:w="0" w:type="dxa"/>
            </w:tcMar>
            <w:vAlign w:val="center"/>
          </w:tcPr>
          <w:p>
            <w:pPr>
              <w:ind w:firstLine="0"/>
              <w:spacing w:lineRule="exact" w:line="320" w:after="0" w:before="0"/>
            </w:pPr>
            <w:r>
              <w:rPr>
                <w:rFonts w:ascii="宋体" w:hAnsi="宋体" w:eastAsia="宋体" w:cs="宋体"/>
                <w:color w:val="000000"/>
                <w:sz w:val="21"/>
              </w:rPr>
              <w:t xml:space="preserve">    报告期内，9B310061七日年化收益率均值2.3922%，9B31006B七日年化收益率均值2.6174%，9B31006C七日年化收益率均值2.6210%，9B31006D七日年化收益率均值2.2667%，9B31006E七日年化收益率均值2.5759%，9B31006F七日年化收益率均值2.4675%，9B31006G七日年化收益率均值2.3666%，9B31006I七日年化收益率均值2.5249%，9B31006J七日年化收益率均值2.4201%，9B3100GS七日年化收益率均值2.4802%。同期业绩比较基准¹如下：</w:t>
            </w: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gridSpan w:val="5"/>
            <w:tcMar>
              <w:top w:w="0" w:type="dxa"/>
              <w:left w:w="0" w:type="dxa"/>
              <w:bottom w:w="0" w:type="dxa"/>
              <w:right w:w="0" w:type="dxa"/>
            </w:tcMar>
          </w:tcPr>
          <w:tbl>
            <w:tblPr>
              <w:tblLayout w:type="fixed"/>
            </w:tblPr>
            <w:tblGrid>
              <w:gridCol w:w="2000"/>
              <w:gridCol w:w="4000"/>
              <w:gridCol w:w="4800"/>
            </w:tblGrid>
            <w:tr>
              <w:trPr>
                <w:trHeight w:hRule="exact" w:val="600"/>
              </w:trPr>
              <w:tc>
                <w:tcPr>
                  <w:shd w:val="clear" w:color="auto" w:fill="AFAFA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销售代码</w:t>
                        </w:r>
                      </w:p>
                    </w:tc>
                    <w:tc>
                      <w:tcPr>
     </w:tcPr>
                      <w:p>
                        <w:pPr>
                          <w:pStyle w:val="EMPTY_CELL_STYLE"/>
                        </w:pP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适用期间</w:t>
                        </w:r>
                      </w:p>
                    </w:tc>
                  </w:tr>
                </w:tbl>
                <w:p>
                  <w:pPr>
                    <w:pStyle w:val="EMPTY_CELL_STYLE"/>
                  </w:pPr>
                </w:p>
              </w:tc>
              <w:tc>
                <w:tcPr>
                  <w:shd w:val="clear" w:color="auto" w:fill="AFAFA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b w:val="true"/>
                          </w:rPr>
                          <w:t xml:space="preserve">业绩比较基准</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9B31006J</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2023-06-02至2023-06-30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9B3100GS</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2023-04-01至2023-06-30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9B31006I</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2023-04-25至2023-06-30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800"/>
                    <w:gridCol w:w="4800"/>
                  </w:tblGrid>
                  <w:tr>
                    <w:trPr>
                      <w:trHeight w:hRule="atLeast" w:val="600"/>
                    </w:trPr>
                    <w:tc>
                      <w:tcPr>
                        <w:tcMar>
                          <w:top w:w="0" w:type="dxa"/>
                          <w:left w:w="20" w:type="dxa"/>
                          <w:bottom w:w="0" w:type="dxa"/>
                          <w:right w:w="0" w:type="dxa"/>
                        </w:tcMar>
                        <w:vAlign w:val="center"/>
                      </w:tcPr>
                      <w:p>
                        <w:pPr>
                          <w:ind/>
                          <w:jc w:val="center"/>
                        </w:pPr>
                        <w:r>
                          <w:rPr>
                            <w:rFonts w:ascii="宋体" w:hAnsi="宋体" w:eastAsia="宋体" w:cs="宋体"/>
                            <w:color w:val="000000"/>
                            <w:sz w:val="21"/>
                          </w:rPr>
                          <w:t xml:space="preserve">通知存款七天+浮动基数0%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1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4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pPr>
            <w:r>
              <w:rPr>
                <w:rFonts w:ascii="宋体" w:hAnsi="宋体" w:eastAsia="宋体" w:cs="宋体"/>
                <w:color w:val="000000"/>
                <w:sz w:val="21"/>
              </w:rPr>
              <w:t xml:space="preserve">报告期末，产品收益具体如下：</w:t>
            </w:r>
          </w:p>
        </w:tc>
        <w:tc>
          <w:tcPr>
     </w:tcPr>
          <w:p>
            <w:pPr>
              <w:pStyle w:val="EMPTY_CELL_STYLE"/>
            </w:pPr>
          </w:p>
        </w:tc>
      </w:tr>
      <w:tr>
        <w:trPr>
          <w:trHeight w:hRule="exact" w:val="12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73,795,884,056.55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gridSpan w:val="5"/>
            <w:tcMar>
              <w:top w:w="0" w:type="dxa"/>
              <w:left w:w="0" w:type="dxa"/>
              <w:bottom w:w="0" w:type="dxa"/>
              <w:right w:w="0" w:type="dxa"/>
            </w:tcMar>
          </w:tcPr>
          <w:tbl>
            <w:tblPr>
              <w:tblLayout w:type="fixed"/>
            </w:tblPr>
            <w:tblGrid>
              <w:gridCol w:w="2000"/>
              <w:gridCol w:w="2200"/>
              <w:gridCol w:w="1800"/>
              <w:gridCol w:w="2000"/>
              <w:gridCol w:w="27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万份收益</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七日年化收益率</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0.6133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2.4640%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18,678,872,143.77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0.6879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7,452,233,076.17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0.6906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8,360,911,899.29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0.5838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18,788,720,841.72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9B31006E</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0.6627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12,131,643,330.45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9B31006F</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4,100,592,984.72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9B31006G</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2.4920%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87,746,069.12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9B31006I</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0.6485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2.5960%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259,413,340.27</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9B31006J</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2.4710%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497,751.99</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9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9B3100GS</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0.6395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2.5750%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700"/>
                    <w:gridCol w:w="27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3,935,252,619.05</w:t>
                        </w:r>
                      </w:p>
                    </w:tc>
                  </w:tr>
                </w:tbl>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闫思聪先生，澳大利亚新南威尔士大学硕士，注册会计师（CPA）、特许金融分析师（CFA）、金融风险管理师（FRM）、国际金融理财师（CFP）、注册国际投资分析师（CIIA）、特许另类投资分析师（CAIA）。2009年加入兴业银行，金融从业14年，历任兴业银行资金营运中心代客财富管理处产品经理、资产管理部产品研发处投资经理、产品研发处副处长，现任兴银理财现金管理部总经理、现金管理投资总监。</w:t>
              <w:br/>
              <w:t xml:space="preserve">    李刚刚先生，清华大学工学学士、硕士，具有银行间本币市场交易员资格。2020年加入兴银理财从事理财产品投资组合管理工作，协助管理总规模逾千亿，善于大资金的资产配置和流动性管理。现担任“兴银理财添利8号净值型理财产品”和“兴银理财日日新1号净值型理财产品”投资经理助理。</w:t>
            </w:r>
          </w:p>
        </w:tc>
        <w:tc>
          <w:tcPr>
     </w:tcPr>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 宏观经济及市场情况</w:t>
              <w:br/>
              <w:t xml:space="preserve">    二季度受去年同期低基数影响，经济数据表现同比尚可，但随着场景修复和积压需求拉动的复苏动能在一季度逐步兑现，补偿性增长渐入尾声，经济环比修复速度放缓。4月公布的宏观经济数据不及预期，叠加地产销售数据、票据转贴利率等核心高频指标大幅回落，进一步印证经济弱修复格局，债市走牛，利率整体处于下行区间 。5月存款利率下调加上资金面转松，打开中短端下行窗口，曲线从牛平转为牛陡。6月央行降息落地，市场开始交易稳增长预期，利率波动加大。二季度10年国债收益率从2.86%一路下破2.6%，随后回到2.65%-2.7%区间震荡。</w:t>
              <w:br/>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展望后市，当前经济各分项整体边际改善企稳，逐步呈现筑底特征，但向上动能依然偏弱，政策必要性上升。 下半年，地产和私人部门信心问题依然存在，随着PPI和库存周期见底，补库需求或将提振工业生产，但低迷的终端需求下向上弹性有限。经济自发修复力量不足，基建等逆周期分项有待增量准财政工具提供资金支持，政策必要性上升，但高质量发展主题下对政策的领域和力度不宜过度期待。二季度货币政策例会重申“内生驱动还不强，需求驱动仍不足”，要“加大宏观政策调控力度，精准有力实施稳健的货币政策”。短期内受限于外围环境和政策定力难言超预期宽松，关注三季度超储季节性回落后是否有降准可能性。</w:t>
              <w:br/>
              <w:br/>
              <w:t xml:space="preserve">二 前期运作回顾</w:t>
              <w:br/>
              <w:t xml:space="preserve">    报告期内，本产品始终将保持流动性安全和防范信用风险作为第一要务，在此基础上通过稳健的投资风格实现相对稳定的收益。我们根据产品负债变化和市场情况适时调整投资策略和建仓节奏，信用债等票息资产稳步建仓、NCD逢高建仓，在保证组合流动性安全的前提下积极把握市场调整的买入机会。</w:t>
              <w:br/>
              <w:br/>
              <w:t xml:space="preserve">三 后期投资策略</w:t>
              <w:br/>
              <w:t xml:space="preserve">    当前从短端绝对收益率水平和信用利差角度来讲，配置价值均有所弱化，但基本面钝化下受理财短期化供需格局和资金面宽松影响，品种和期限利差不排除进一步压缩的可能。三季度，本产品仍然会坚持以安全性和流动性优先、兼顾收益性的稳健策略，综合考量各类资产的风险收益特征，根据市场情况灵活把握投资节奏。结合负债端情况提前布局产品流动性，保障产品运作安全。同时，我们会按照《关于规范现金管理类理财产品管理有关事项的通知》的相关要求，持续动态监控产品投资组合，保障产品合规、平稳地运作。</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报告期末本产品总资产未超过该产品净资产规模的120%，符合产品协议对本产品杠杆比例的要求。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196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建设银行深圳分行活期存款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2,660,577,111.11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Z存放同业（线上）20230203002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2,020,802,222.88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建设银行活期存款（福州）</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2,000,766,666.67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Z存放同业（线上）20230208003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1,515,491,666.19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定期存款20230329004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1,512,141,666.98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农业银行上海分行活期存款</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1,200,875,000.01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Z存放同业（线上）20230119005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1,011,545,832.79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Z存放同业（线上）20230130008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1,010,766,666.16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Z存放同业（线上）20230210007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1,010,418,333.49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Z存放同业（线上）20230214023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1,010,275,000.00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1.37</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3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18汉江国资MTN004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18晋焦煤MTN005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18九龙江MTN003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18鲁能源MTN001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18闽漳龙MTN001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18陕投集团MTN006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18新盛建设MTN004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19泰州城建MTN001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20安踏体育MTN001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20川交投MTN001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20鄂长投MTN003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20光明房产MTN003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20海宁城投MTN001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20浦口康居MTN005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20青岛城投MTN004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20泉州城建MTN004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20厦港务MTN004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厦门港务控股集团有限公司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20湘高速MTN007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兴业国信资产管理有限公司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20紫金矿业MTN003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21常德经建MTN001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21东台城投MTN001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21鄂长投MTN001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21华远陆港PPN001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21晋能电力MTN009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21晋能装备MTN002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21九龙江PPN001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21柯桥国资MTN001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21昆交投PPN001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21潞安MTN004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21平湖城投MTN001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21文广集团MTN001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21宣城国资PPN002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21中色MTN002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22常城建SCP011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22常德城投SCP003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9" w:name="JR_PAGE_ANCHOR_0_10"/>
            <w:bookmarkEnd w:id="9"/>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22九江银行CD082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22潞安MTN002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22宁河西CP002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22青岛西海SCP003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22首创生态SCP001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22锡产业SCP019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22厦国贸控SCP008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22湘高速CP004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22象屿G1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22象屿SCP009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22义乌国资CP001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23成都建工MTN001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23川水电SCP002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23春风一方ABN002优先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23大唐新能2ABN002优先(碳中和债)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23赣水投SCP001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23桂投资CP001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23海润城发SCP001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23华靖资产CP001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23华阳新材CP002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23建安投资CP002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23胶州城投PPN001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10/</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10" w:name="JR_PAGE_ANCHOR_0_11"/>
            <w:bookmarkEnd w:id="1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78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23京能1号ABN002优先(绿色)</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23京能2号ABN001优先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44,000,000.00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23联发集SCP001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23龙盛SCP004(科创票据)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23泉州交通SCP001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23桐昆控股SCP001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23温江兴蓉CP001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23吴中国太PPN001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23厦国贸控SCP002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23香城投资SCP001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G平水01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G平水02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591.92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630.31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快赎垫资服务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兴业银行活期存款（北京）</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Z存放同业20230314001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云南红塔银行股份有限公司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10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260"/>
        <w:gridCol w:w="1"/>
      </w:tblGrid>
      <w:tr>
        <w:trPr>
          <w:trHeight w:hRule="exact" w:val="0"/>
        </w:trPr>
        <w:tc>
          <w:tcPr>
     </w:tcPr>
          <w:p>
            <w:pPr>
              <w:pStyle w:val="EMPTY_CELL_STYLE"/>
              <w:pageBreakBefore/>
            </w:pPr>
            <w:bookmarkStart w:id="11" w:name="JR_PAGE_ANCHOR_0_12"/>
            <w:bookmarkEnd w:id="1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兴银理财日日新1号净值型理财产品 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051010100101178786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兴银理财日日新1号净值型理财产品</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7.影响理财份额投资人决策的其他重要信息</w:t>
            </w: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0"/>
              </w:rPr>
              <w:t xml:space="preserve"> 7.1报告期内单一投资者持有产品份额达到或者超过该产品总份额20%的情形</w:t>
            </w:r>
          </w:p>
        </w:tc>
        <w:tc>
          <w:tcPr>
     </w:tcPr>
          <w:p>
            <w:pPr>
              <w:pStyle w:val="EMPTY_CELL_STYLE"/>
            </w:pPr>
          </w:p>
        </w:tc>
      </w:tr>
      <w:tr>
        <w:trPr>
          <w:trHeight w:hRule="exact" w:val="600"/>
        </w:trPr>
        <w:tc>
          <w:tcPr>
     </w:tcPr>
          <w:p>
            <w:pPr>
              <w:pStyle w:val="EMPTY_CELL_STYLE"/>
            </w:pPr>
          </w:p>
        </w:tc>
        <w:tc>
          <w:tcPr>
            <w:gridSpan w:val="7"/>
            <w:tcMar>
              <w:top w:w="0" w:type="dxa"/>
              <w:left w:w="0" w:type="dxa"/>
              <w:bottom w:w="0" w:type="dxa"/>
              <w:right w:w="0" w:type="dxa"/>
            </w:tcMar>
          </w:tcPr>
          <w:tbl>
            <w:tblPr>
              <w:tblLayout w:type="fixed"/>
            </w:tblPr>
            <w:tblGrid>
              <w:gridCol w:w="11000"/>
              <w:gridCol w:w="11000"/>
            </w:tblGrid>
            <w:tr>
              <w:trPr>
                <w:trHeight w:hRule="exact" w:val="600"/>
              </w:trPr>
              <w:tc>
                <w:tcPr>
                  <w:shd w:val="clear" w:color="auto" w:fill="FFFFFF"/>
                  <w:tcMar>
                    <w:top w:w="0" w:type="dxa"/>
                    <w:left w:w="0" w:type="dxa"/>
                    <w:bottom w:w="0" w:type="dxa"/>
                    <w:right w:w="0" w:type="dxa"/>
                  </w:tcMar>
                </w:tcPr>
                <w:tbl>
                  <w:tblPr>
                    <w:tblLayout w:type="fixed"/>
                  </w:tblPr>
                  <w:tblGrid>
                    <w:gridCol w:w="11000"/>
                    <w:gridCol w:w="11000"/>
                  </w:tblGrid>
                  <w:tr>
                    <w:trPr>
                      <w:trHeight w:hRule="atLeast" w:val="600"/>
                    </w:trPr>
                    <w:tc>
                      <w:tcPr>
                        <w:tcMar>
                          <w:top w:w="0" w:type="dxa"/>
                          <w:left w:w="0" w:type="dxa"/>
                          <w:bottom w:w="0" w:type="dxa"/>
                          <w:right w:w="0" w:type="dxa"/>
                        </w:tcMar>
                        <w:vAlign w:val="center"/>
                      </w:tcPr>
                      <w:p>
                        <w:pPr>
                          <w:ind/>
                          <w:jc w:val="left"/>
                        </w:pPr>
                        <w:r>
                          <w:rPr>
                            <w:rFonts w:ascii="宋体" w:hAnsi="宋体" w:eastAsia="宋体" w:cs="宋体"/>
                            <w:color w:val="000000"/>
                            <w:sz w:val="21"/>
                          </w:rPr>
                          <w:t xml:space="preserve">    本产品本报告期无单一投资者持有产品份额达到或者超过该产品总份额20%的情形。</w:t>
                        </w:r>
                      </w:p>
                    </w:tc>
                  </w:tr>
                </w:tbl>
                <w:p>
                  <w:pPr>
                    <w:pStyle w:val="EMPTY_CELL_STYLE"/>
                  </w:pPr>
                </w:p>
              </w:tc>
            </w:tr>
          </w:tbl>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c>
          <w:tcPr>
     </w:tcPr>
          <w:p>
            <w:pPr>
              <w:pStyle w:val="EMPTY_CELL_STYLE"/>
            </w:pPr>
          </w:p>
        </w:tc>
      </w:tr>
      <w:tr>
        <w:trPr>
          <w:trHeight w:hRule="exact" w:val="9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12/</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12</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3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