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兴银理财灵动全天候10号净值型理财产品2023年第二季度报告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兴银理财灵动全天候10号净值型理财产品</w:t>
            </w:r>
            <w:r>
              <w:rPr>
                <w:rFonts w:ascii="宋体" w:hAnsi="宋体" w:eastAsia="宋体" w:cs="宋体"/>
                <w:b/>
                <w:color w:val="000000"/>
                <w:sz w:val="32"/>
              </w:rPr>
              <w:br w:type="textWrapping"/>
            </w:r>
            <w:r>
              <w:rPr>
                <w:rFonts w:ascii="宋体" w:hAnsi="宋体" w:eastAsia="宋体" w:cs="宋体"/>
                <w:b/>
                <w:color w:val="000000"/>
                <w:sz w:val="32"/>
              </w:rPr>
              <w:t>2023年第二季度报告</w:t>
            </w:r>
          </w:p>
        </w:tc>
        <w:tc>
          <w:p>
            <w:pPr>
              <w:pStyle w:val="4"/>
            </w:pPr>
          </w:p>
        </w:tc>
      </w:tr>
      <w:tr>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报告送出日期：2023年7月21日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兴银理财灵动全天候10号净值型理财产品2023年第二季度报告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rPr>
          <w:gridAfter w:val="2"/>
          <w:trHeight w:val="0" w:hRule="atLeast"/>
        </w:trPr>
        <w:tc>
          <w:p>
            <w:pPr>
              <w:pStyle w:val="4"/>
              <w:pageBreakBefore/>
            </w:pPr>
            <w:bookmarkStart w:id="2" w:name="JR_PAGE_ANCHOR_0_3"/>
            <w:bookmarkEnd w:id="2"/>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兴银理财灵动全天候10号净值型理财产品2023年第二季度报告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gridSpan w:val="2"/>
          </w:tcPr>
          <w:p>
            <w:pPr>
              <w:pStyle w:val="4"/>
            </w:pPr>
          </w:p>
        </w:tc>
        <w:tc>
          <w:p>
            <w:pPr>
              <w:pStyle w:val="4"/>
            </w:pPr>
          </w:p>
        </w:tc>
      </w:tr>
      <w:tr>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兴银理财灵动全天候10号净值型理财产品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9K212060</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Z7002020000203</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tcPr>
            <w:gridSpan w:val="2"/>
          </w:tcPr>
          <w:p>
            <w:pPr>
              <w:pStyle w:val="4"/>
            </w:pPr>
          </w:p>
        </w:tc>
        <w:tc>
          <w:p>
            <w:pPr>
              <w:pStyle w:val="4"/>
            </w:pPr>
          </w:p>
        </w:tc>
      </w:tr>
      <w:tr>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gridSpan w:val="2"/>
          </w:tcPr>
          <w:p>
            <w:pPr>
              <w:pStyle w:val="4"/>
            </w:pPr>
          </w:p>
        </w:tc>
        <w:tc>
          <w:p>
            <w:pPr>
              <w:pStyle w:val="4"/>
            </w:pPr>
          </w:p>
        </w:tc>
      </w:tr>
      <w:tr>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tcPr>
            <w:gridSpan w:val="2"/>
          </w:tcPr>
          <w:p>
            <w:pPr>
              <w:pStyle w:val="4"/>
            </w:pPr>
          </w:p>
        </w:tc>
        <w:tc>
          <w:p>
            <w:pPr>
              <w:pStyle w:val="4"/>
            </w:pPr>
          </w:p>
        </w:tc>
      </w:tr>
      <w:tr>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297,470,699.67份</w:t>
            </w:r>
          </w:p>
        </w:tc>
        <w:tc>
          <w:tcPr>
            <w:gridSpan w:val="2"/>
          </w:tcPr>
          <w:p>
            <w:pPr>
              <w:pStyle w:val="4"/>
            </w:pPr>
          </w:p>
        </w:tc>
        <w:tc>
          <w:p>
            <w:pPr>
              <w:pStyle w:val="4"/>
            </w:pPr>
          </w:p>
        </w:tc>
      </w:tr>
      <w:tr>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gridSpan w:val="2"/>
          </w:tcPr>
          <w:p>
            <w:pPr>
              <w:pStyle w:val="4"/>
            </w:pPr>
          </w:p>
        </w:tc>
        <w:tc>
          <w:p>
            <w:pPr>
              <w:pStyle w:val="4"/>
            </w:pPr>
          </w:p>
        </w:tc>
      </w:tr>
      <w:tr>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7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业绩比较基准¹/业绩报酬计提基准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9K212160：2.00%--6.00%/6.00%</w:t>
            </w:r>
            <w:r>
              <w:rPr>
                <w:rFonts w:ascii="宋体" w:hAnsi="宋体" w:eastAsia="宋体" w:cs="宋体"/>
                <w:color w:val="000000"/>
                <w:sz w:val="21"/>
              </w:rPr>
              <w:br w:type="textWrapping"/>
            </w:r>
            <w:r>
              <w:rPr>
                <w:rFonts w:ascii="宋体" w:hAnsi="宋体" w:eastAsia="宋体" w:cs="宋体"/>
                <w:color w:val="000000"/>
                <w:sz w:val="21"/>
              </w:rPr>
              <w:t xml:space="preserve">  9K212260：2.00%--6.00%/6.00%</w:t>
            </w:r>
            <w:r>
              <w:rPr>
                <w:rFonts w:ascii="宋体" w:hAnsi="宋体" w:eastAsia="宋体" w:cs="宋体"/>
                <w:color w:val="000000"/>
                <w:sz w:val="21"/>
              </w:rPr>
              <w:br w:type="textWrapping"/>
            </w:r>
            <w:r>
              <w:rPr>
                <w:rFonts w:ascii="宋体" w:hAnsi="宋体" w:eastAsia="宋体" w:cs="宋体"/>
                <w:color w:val="000000"/>
                <w:sz w:val="21"/>
              </w:rPr>
              <w:t xml:space="preserve">  9K212360：2.00%--6.00%/6.00%</w:t>
            </w:r>
          </w:p>
        </w:tc>
        <w:tc>
          <w:tcPr>
            <w:gridSpan w:val="2"/>
          </w:tcPr>
          <w:p>
            <w:pPr>
              <w:pStyle w:val="4"/>
            </w:pPr>
          </w:p>
        </w:tc>
        <w:tc>
          <w:p>
            <w:pPr>
              <w:pStyle w:val="4"/>
            </w:pPr>
          </w:p>
        </w:tc>
      </w:tr>
      <w:tr>
        <w:trPr>
          <w:gridAfter w:val="2"/>
          <w:trHeight w:val="4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rPr>
          <w:gridAfter w:val="2"/>
          <w:trHeight w:val="1800" w:hRule="exact"/>
        </w:trPr>
        <w:tc>
          <w:p>
            <w:pPr>
              <w:pStyle w:val="4"/>
            </w:pPr>
          </w:p>
        </w:tc>
        <w:tc>
          <w:p>
            <w:pPr>
              <w:pStyle w:val="4"/>
            </w:pPr>
          </w:p>
        </w:tc>
        <w:tc>
          <w:tcPr>
            <w:gridSpan w:val="16"/>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灵动10号陆陆通A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9K212160</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185,257,533.99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灵动10号陆陆通B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9K212260</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83,207,325.49</w:t>
                        </w:r>
                      </w:p>
                    </w:tc>
                  </w:tr>
                </w:tbl>
                <w:p>
                  <w:pPr>
                    <w:pStyle w:val="4"/>
                  </w:pPr>
                </w:p>
              </w:tc>
            </w:tr>
          </w:tbl>
          <w:p>
            <w:pPr>
              <w:pStyle w:val="4"/>
            </w:pPr>
          </w:p>
        </w:tc>
        <w:tc>
          <w:p>
            <w:pPr>
              <w:pStyle w:val="4"/>
            </w:pPr>
          </w:p>
        </w:tc>
      </w:tr>
      <w:tr>
        <w:trPr>
          <w:gridAfter w:val="2"/>
          <w:trHeight w:val="5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兴银理财灵动全天候10号净值型理财产品2023年第二季度报告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tcPr>
            <w:gridSpan w:val="16"/>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金雪球灵动10号陆陆通</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9K212360</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29,005,840.19</w:t>
                        </w:r>
                      </w:p>
                    </w:tc>
                  </w:tr>
                </w:tbl>
                <w:p>
                  <w:pPr>
                    <w:pStyle w:val="4"/>
                  </w:pPr>
                </w:p>
              </w:tc>
            </w:tr>
          </w:tbl>
          <w:p>
            <w:pPr>
              <w:pStyle w:val="4"/>
            </w:pPr>
          </w:p>
        </w:tc>
        <w:tc>
          <w:tcPr>
            <w:gridSpan w:val="2"/>
          </w:tcPr>
          <w:p>
            <w:pPr>
              <w:pStyle w:val="4"/>
            </w:pPr>
          </w:p>
        </w:tc>
        <w:tc>
          <w:p>
            <w:pPr>
              <w:pStyle w:val="4"/>
            </w:pPr>
          </w:p>
        </w:tc>
      </w:tr>
      <w:tr>
        <w:trPr>
          <w:trHeight w:val="600" w:hRule="atLeast"/>
        </w:trPr>
        <w:tc>
          <w:p>
            <w:pPr>
              <w:pStyle w:val="4"/>
            </w:pPr>
          </w:p>
        </w:tc>
        <w:tc>
          <w:p>
            <w:pPr>
              <w:pStyle w:val="4"/>
            </w:pPr>
          </w:p>
        </w:tc>
        <w:tc>
          <w:tcPr>
            <w:gridSpan w:val="16"/>
            <w:tcMar>
              <w:top w:w="0" w:type="dxa"/>
              <w:left w:w="0" w:type="dxa"/>
              <w:bottom w:w="0" w:type="dxa"/>
              <w:right w:w="0" w:type="dxa"/>
            </w:tcMar>
            <w:vAlign w:val="top"/>
          </w:tcPr>
          <w:p>
            <w:r>
              <w:rPr>
                <w:rFonts w:ascii="宋体" w:hAnsi="宋体" w:eastAsia="宋体" w:cs="宋体"/>
                <w:color w:val="000000"/>
                <w:sz w:val="16"/>
              </w:rPr>
              <w:t>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gridSpan w:val="2"/>
          </w:tcPr>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tcPr>
            <w:gridSpan w:val="2"/>
          </w:tcPr>
          <w:p>
            <w:pPr>
              <w:pStyle w:val="4"/>
            </w:pPr>
          </w:p>
        </w:tc>
        <w:tc>
          <w:p>
            <w:pPr>
              <w:pStyle w:val="4"/>
            </w:pPr>
          </w:p>
        </w:tc>
      </w:tr>
      <w:tr>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产品9K212160自成立日以来，累计净值增长率为6.2960%，年化累计净值增长率为2.5393%。</w:t>
            </w:r>
            <w:r>
              <w:rPr>
                <w:rFonts w:ascii="宋体" w:hAnsi="宋体" w:eastAsia="宋体" w:cs="宋体"/>
                <w:color w:val="000000"/>
                <w:sz w:val="21"/>
              </w:rPr>
              <w:br w:type="textWrapping"/>
            </w:r>
            <w:r>
              <w:rPr>
                <w:rFonts w:ascii="宋体" w:hAnsi="宋体" w:eastAsia="宋体" w:cs="宋体"/>
                <w:color w:val="000000"/>
                <w:sz w:val="21"/>
              </w:rPr>
              <w:t>产品9K212260自成立日以来，累计净值增长率为6.5590%，年化累计净值增长率为2.6453%。</w:t>
            </w:r>
            <w:r>
              <w:rPr>
                <w:rFonts w:ascii="宋体" w:hAnsi="宋体" w:eastAsia="宋体" w:cs="宋体"/>
                <w:color w:val="000000"/>
                <w:sz w:val="21"/>
              </w:rPr>
              <w:br w:type="textWrapping"/>
            </w:r>
            <w:r>
              <w:rPr>
                <w:rFonts w:ascii="宋体" w:hAnsi="宋体" w:eastAsia="宋体" w:cs="宋体"/>
                <w:color w:val="000000"/>
                <w:sz w:val="21"/>
              </w:rPr>
              <w:t>产品9K212360自成立日以来，累计净值增长率为6.5530%，年化累计净值增长率为2.6429%。</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tcPr>
            <w:gridSpan w:val="2"/>
          </w:tcPr>
          <w:p>
            <w:pPr>
              <w:pStyle w:val="4"/>
            </w:pPr>
          </w:p>
        </w:tc>
        <w:tc>
          <w:p>
            <w:pPr>
              <w:pStyle w:val="4"/>
            </w:pPr>
          </w:p>
        </w:tc>
      </w:tr>
      <w:tr>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1.06395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1.06395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316,492,919.98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1.06296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1.06296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196,921,649.70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1.06559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1.06559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88,664,765.49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9K212360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1.06553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1.06553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30,906,504.79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rPr>
          <w:trHeight w:val="12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2023年上半年，权益市场方面，随着强预期弱现实的此消彼长。指数冲高回落，走出前高后低的走势。结构上更偏以TMT为首的成长板块。债市去年年底大跌回调后，今年上半年几乎一直处于高歌猛进的状态，但6月上旬降息落地后走出一波冲高回落的走势，收益率暂未突破年内新低，显示市场依然有犹豫。本报告期内，本组合积极调</w:t>
            </w:r>
          </w:p>
        </w:tc>
        <w:tc>
          <w:tcPr>
            <w:gridSpan w:val="2"/>
          </w:tcPr>
          <w:p>
            <w:pPr>
              <w:pStyle w:val="4"/>
            </w:pPr>
          </w:p>
        </w:tc>
        <w:tc>
          <w:tcPr>
            <w:gridSpan w:val="2"/>
          </w:tcPr>
          <w:p>
            <w:pPr>
              <w:pStyle w:val="4"/>
            </w:pPr>
          </w:p>
        </w:tc>
        <w:tc>
          <w:p>
            <w:pPr>
              <w:pStyle w:val="4"/>
            </w:pPr>
          </w:p>
        </w:tc>
      </w:tr>
      <w:tr>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兴银理财灵动全天候10号净值型理财产品2023年第二季度报告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整</w:t>
            </w:r>
            <w:bookmarkStart w:id="7" w:name="_GoBack"/>
            <w:bookmarkEnd w:id="7"/>
            <w:r>
              <w:rPr>
                <w:rFonts w:ascii="宋体" w:hAnsi="宋体" w:eastAsia="宋体" w:cs="宋体"/>
                <w:color w:val="000000"/>
                <w:sz w:val="21"/>
              </w:rPr>
              <w:t>债券持仓，逐步降低衍生品对冲比例。此外对权益资产进行积极调整行业结构。展望今年三季度，稳经济诉求越发强烈，财政和货币政策向好，更有利权益市场，债市随着利差及绝对收益率的下降，风险也在积聚，策略上需谨慎对待。本组合将继续坚持既有投资策略，积极主动管理好大类资产的配置策略并精细化选择类属资产。</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5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tcPr>
            <w:gridSpan w:val="2"/>
          </w:tcPr>
          <w:p>
            <w:pPr>
              <w:pStyle w:val="4"/>
            </w:pPr>
          </w:p>
        </w:tc>
        <w:tc>
          <w:p>
            <w:pPr>
              <w:pStyle w:val="4"/>
            </w:pPr>
          </w:p>
        </w:tc>
      </w:tr>
      <w:tr>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tcPr>
            <w:gridSpan w:val="2"/>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71.80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71.80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金融衍生品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-0.19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25.27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25.27</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1840" w:hRule="exact"/>
        </w:trPr>
        <w:tc>
          <w:p>
            <w:pPr>
              <w:pStyle w:val="4"/>
            </w:pPr>
          </w:p>
        </w:tc>
        <w:tc>
          <w:p>
            <w:pPr>
              <w:pStyle w:val="4"/>
            </w:pPr>
          </w:p>
        </w:tc>
        <w:tc>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天弘安利短债债券型证券投资基金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30,337,459.30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9.59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万家家享中短债债券型证券投资基金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29,970,463.98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9.47</w:t>
                        </w:r>
                      </w:p>
                    </w:tc>
                  </w:tr>
                </w:tbl>
                <w:p>
                  <w:pPr>
                    <w:pStyle w:val="4"/>
                  </w:pPr>
                </w:p>
              </w:tc>
            </w:tr>
          </w:tbl>
          <w:p>
            <w:pPr>
              <w:pStyle w:val="4"/>
            </w:pPr>
          </w:p>
        </w:tc>
        <w:tc>
          <w:p>
            <w:pPr>
              <w:pStyle w:val="4"/>
            </w:pPr>
          </w:p>
        </w:tc>
      </w:tr>
      <w:tr>
        <w:trPr>
          <w:trHeight w:val="1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tcPr>
            <w:gridSpan w:val="2"/>
          </w:tcPr>
          <w:p>
            <w:pPr>
              <w:pStyle w:val="4"/>
            </w:pPr>
          </w:p>
        </w:tc>
        <w:tc>
          <w:p>
            <w:pPr>
              <w:pStyle w:val="4"/>
            </w:pPr>
          </w:p>
        </w:tc>
      </w:tr>
      <w:tr>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兴银理财灵动全天候10号净值型理财产品2023年第二季度报告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rPr>
          <w:trHeight w:val="480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国泰利享中短债债券型证券投资基金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27,339,693.46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8.64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平安如意中短债债券型证券投资基金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27,076,045.63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8.56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华夏短债债券型证券投资基金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20,295,852.63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景顺长城中短债债券型证券投资基金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20,252,198.35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广发景明中短债债券型证券投资基金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20,156,264.78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6.37</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22中证04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15,924,543.09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18上饶投资MTN001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14,136,788.16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20黄石城投MTN002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13,412,881.78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4.24</w:t>
                        </w:r>
                      </w:p>
                    </w:tc>
                  </w:tr>
                </w:tbl>
                <w:p>
                  <w:pPr>
                    <w:pStyle w:val="4"/>
                  </w:pPr>
                </w:p>
              </w:tc>
            </w:tr>
          </w:tbl>
          <w:p>
            <w:pPr>
              <w:pStyle w:val="4"/>
            </w:pPr>
          </w:p>
        </w:tc>
        <w:tc>
          <w:p>
            <w:pPr>
              <w:pStyle w:val="4"/>
            </w:pPr>
          </w:p>
        </w:tc>
      </w:tr>
      <w:tr>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rPr>
          <w:trHeight w:val="2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兴银理财灵动全天候10号净值型理财产品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33.62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销售服务费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兴银理财灵动全天候10号净值型理财产品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兴业期货-兴合4号集合资产管理计划</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管理费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051010100101137286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兴银理财灵动全天候10号净值型理财产品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rPr>
          <w:gridAfter w:val="4"/>
          <w:trHeight w:val="0" w:hRule="atLeast"/>
        </w:trPr>
        <w:tc>
          <w:p>
            <w:pPr>
              <w:pStyle w:val="4"/>
              <w:pageBreakBefore/>
            </w:pPr>
            <w:bookmarkStart w:id="6" w:name="JR_PAGE_ANCHOR_0_7"/>
            <w:bookmarkEnd w:id="6"/>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兴银理财灵动全天候10号净值型理财产品2023年第二季度报告</w:t>
            </w:r>
          </w:p>
        </w:tc>
        <w:tc>
          <w:p>
            <w:pPr>
              <w:pStyle w:val="4"/>
            </w:pPr>
          </w:p>
        </w:tc>
      </w:tr>
      <w:tr>
        <w:trPr>
          <w:gridAfter w:val="4"/>
          <w:trHeight w:val="2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rPr>
          <w:gridAfter w:val="4"/>
          <w:trHeight w:val="4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rPr>
          <w:gridAfter w:val="4"/>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2023年7月21日</w:t>
            </w:r>
          </w:p>
        </w:tc>
        <w:tc>
          <w:p>
            <w:pPr>
              <w:pStyle w:val="4"/>
            </w:pPr>
          </w:p>
        </w:tc>
      </w:tr>
      <w:tr>
        <w:tblPrEx>
          <w:tblCellMar>
            <w:top w:w="0" w:type="dxa"/>
            <w:left w:w="10" w:type="dxa"/>
            <w:bottom w:w="0" w:type="dxa"/>
            <w:right w:w="10" w:type="dxa"/>
          </w:tblCellMar>
        </w:tblPrEx>
        <w:trPr>
          <w:gridAfter w:val="4"/>
          <w:trHeight w:val="136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bl>
    <w:p/>
    <w:sectPr>
      <w:pgSz w:w="11900" w:h="16840"/>
      <w:pgMar w:top="600" w:right="60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800"/>
  <w:compat>
    <w:useFELayout/>
    <w:splitPgBreakAndParaMark/>
    <w:compatSetting w:name="compatibilityMode" w:uri="http://schemas.microsoft.com/office/word" w:val="12"/>
  </w:compat>
  <w:rsids>
    <w:rsidRoot w:val="00000000"/>
    <w:rsid w:val="00057D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2023-07-20T02:59:03Z</dcterms:created>
  <dc:creator>cib</dc:creator>
  <cp:lastModifiedBy>cib</cp:lastModifiedBy>
  <dcterms:modified xsi:type="dcterms:W3CDTF">2023-07-20T02:59:53Z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