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0742" w:type="dxa"/>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兴银理财灵动全天候28号净值型理财产品</w:t>
            </w:r>
            <w:r>
              <w:rPr>
                <w:rFonts w:ascii="宋体" w:hAnsi="宋体" w:eastAsia="宋体" w:cs="宋体"/>
                <w:b/>
                <w:color w:val="000000"/>
                <w:sz w:val="32"/>
              </w:rPr>
              <w:br w:type="textWrapping"/>
            </w:r>
            <w:r>
              <w:rPr>
                <w:rFonts w:ascii="宋体" w:hAnsi="宋体" w:eastAsia="宋体" w:cs="宋体"/>
                <w:b/>
                <w:color w:val="000000"/>
                <w:sz w:val="32"/>
              </w:rPr>
              <w:t>2023年第二季度报告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报告送出日期：2023年7月21日</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2" w:name="JR_PAGE_ANCHOR_0_3"/>
            <w:bookmarkEnd w:id="2"/>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兴银理财灵动全天候28号净值型理财产品</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9K212078</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Z7002021000017</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25,647,356.4份</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R3</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业绩比较基准¹/业绩报酬计提基准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9K212178：3.00%--6.50%/6.50%</w:t>
            </w:r>
            <w:r>
              <w:rPr>
                <w:rFonts w:ascii="宋体" w:hAnsi="宋体" w:eastAsia="宋体" w:cs="宋体"/>
                <w:color w:val="000000"/>
                <w:sz w:val="21"/>
              </w:rPr>
              <w:br w:type="textWrapping"/>
            </w:r>
            <w:r>
              <w:rPr>
                <w:rFonts w:ascii="宋体" w:hAnsi="宋体" w:eastAsia="宋体" w:cs="宋体"/>
                <w:color w:val="000000"/>
                <w:sz w:val="21"/>
              </w:rPr>
              <w:t xml:space="preserve">  9K212278：3.00%--6.50%/6.50%</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800" w:hRule="exact"/>
        </w:trPr>
        <w:tc>
          <w:p>
            <w:pPr>
              <w:pStyle w:val="4"/>
            </w:pPr>
          </w:p>
        </w:tc>
        <w:tc>
          <w:p>
            <w:pPr>
              <w:pStyle w:val="4"/>
            </w:pPr>
          </w:p>
        </w:tc>
        <w:tc>
          <w:tcPr>
            <w:gridSpan w:val="16"/>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兴银灵动28号年年升A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9K212178</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18,723,283.56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兴银灵动28号年年升B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9K212278</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6,924,072.84</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7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tcPr>
            <w:gridSpan w:val="16"/>
            <w:tcMar>
              <w:top w:w="0" w:type="dxa"/>
              <w:left w:w="0" w:type="dxa"/>
              <w:bottom w:w="0" w:type="dxa"/>
              <w:right w:w="0" w:type="dxa"/>
            </w:tcMar>
            <w:vAlign w:val="top"/>
          </w:tcPr>
          <w:p>
            <w:r>
              <w:rPr>
                <w:rFonts w:ascii="宋体" w:hAnsi="宋体" w:eastAsia="宋体" w:cs="宋体"/>
                <w:color w:val="000000"/>
                <w:sz w:val="16"/>
              </w:rPr>
              <w:t>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gridSpan w:val="2"/>
          </w:tcPr>
          <w:p>
            <w:pPr>
              <w:pStyle w:val="4"/>
            </w:pPr>
          </w:p>
        </w:tc>
        <w:tc>
          <w:p>
            <w:pPr>
              <w:pStyle w:val="4"/>
            </w:pPr>
          </w:p>
        </w:tc>
      </w:tr>
      <w:tr>
        <w:tblPrEx>
          <w:tblCellMar>
            <w:top w:w="0" w:type="dxa"/>
            <w:left w:w="10" w:type="dxa"/>
            <w:bottom w:w="0" w:type="dxa"/>
            <w:right w:w="10" w:type="dxa"/>
          </w:tblCellMar>
        </w:tblPrEx>
        <w:trPr>
          <w:trHeight w:val="8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p>
            <w:pPr>
              <w:pStyle w:val="4"/>
            </w:pPr>
          </w:p>
        </w:tc>
        <w:tc>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产品9K212178自成立日以来，累计净值增长率为2.0530%，年化累计净值增长率为1.5876%。</w:t>
            </w:r>
            <w:r>
              <w:rPr>
                <w:rFonts w:ascii="宋体" w:hAnsi="宋体" w:eastAsia="宋体" w:cs="宋体"/>
                <w:color w:val="000000"/>
                <w:sz w:val="21"/>
              </w:rPr>
              <w:br w:type="textWrapping"/>
            </w:r>
            <w:r>
              <w:rPr>
                <w:rFonts w:ascii="宋体" w:hAnsi="宋体" w:eastAsia="宋体" w:cs="宋体"/>
                <w:color w:val="000000"/>
                <w:sz w:val="21"/>
              </w:rPr>
              <w:t>产品9K212278自成立日以来，累计净值增长率为2.2070%，年化累计净值增长率为1.7067%。</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9K212078</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1.02095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1.02095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26,184,572.82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9K212178</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1.02053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1.02053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19,107,665.23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9K212278</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1.02207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1.02207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7,076,907.59</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胡艳婷女士，英国约克大学经济学硕士（数理方向）。具有10年金融行业从业经验，8年固定收益领域自营投资交易经验，历任江南农商行自营团队负责人，兴银理财投资经理。擅长利率债，衍生品交易，能通过宏观分析与利率策略以及信用价值挖掘为组合做出较稳定的收益。</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24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今年上半年债市整体呈现先上后下的趋势。春节前还是延续去年上行的趋势，主要因对宽信用和经济复苏的预期较强。但春节后逐渐发现经济数据较预期弱，政策力度也偏稳，导致市场有所波动，在3月两会结束后市场重新回到下通道，伴随降准降息，利率基本回到上行前的低点附近。权益方面，春节前也是对地产基建复苏的预期较强，相关偏周期板块表现较好。春节后随着chatgpt带来的AI革命，AIGC相关TMT板块表现强势，相关行业指数上涨接近40%。但4月底开始中特估上涨后导致市场估值体系混乱，随后大盘开始调整。AI相关虽然表现仍强于大盘，但整体股市处于震荡回落态势。各主题轮流表现，但整体回落。本报告期内，本组合根据市场情况适当调整债券持仓，利用利率衍生品对冲久期风险。对权益资产适当配置并积极调整结构。本组合净值在本报告期内表现尚可。</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bookmarkStart w:id="7" w:name="_GoBack"/>
            <w:bookmarkEnd w:id="7"/>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4" w:name="JR_PAGE_ANCHOR_0_5"/>
            <w:bookmarkEnd w:id="4"/>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8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tcPr>
            <w:gridSpan w:val="2"/>
          </w:tcPr>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36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0.73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0.73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82.14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96.52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15.32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3040" w:hRule="exact"/>
        </w:trPr>
        <w:tc>
          <w:p>
            <w:pPr>
              <w:pStyle w:val="4"/>
            </w:pPr>
          </w:p>
        </w:tc>
        <w:tc>
          <w:p>
            <w:pPr>
              <w:pStyle w:val="4"/>
            </w:pPr>
          </w:p>
        </w:tc>
        <w:tc>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21浙兴合MTN002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1,049,957.32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21柯桥国资PPN003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1,044,770.63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21舟投01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1,041,080.23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20常德城投PPN002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1,037,758.55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3.96</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360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21淮安水利PPN002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1,035,127.78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21鲁西化工MTN001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1,034,557.47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22绍交D1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1,018,686.82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3.89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22常州投资MTN003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1,018,539.00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3.89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22芜湖04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1,012,799.40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3.87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21河钢集MTN003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740,475.75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2.83</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gridCol w:w="3000"/>
              <w:gridCol w:w="4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21可克达拉MTN001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兴业银行股份有限公司、九江银行股份有限公司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21溧阳城建PPN005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兴银理财灵动全天候28号净值型理财产品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4.59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销售服务费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兴银理财灵动全天候28号净值型理财产品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0.35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051010100101170530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兴银理财灵动全天候28号净值型理财产品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14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6" w:name="JR_PAGE_ANCHOR_0_7"/>
            <w:bookmarkEnd w:id="6"/>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兴银理财灵动全天候28号净值型理财产品2023年第二季度报告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2023年7月21日</w:t>
            </w:r>
          </w:p>
        </w:tc>
        <w:tc>
          <w:p>
            <w:pPr>
              <w:pStyle w:val="4"/>
            </w:pPr>
          </w:p>
        </w:tc>
      </w:tr>
      <w:tr>
        <w:tblPrEx>
          <w:tblCellMar>
            <w:top w:w="0" w:type="dxa"/>
            <w:left w:w="10" w:type="dxa"/>
            <w:bottom w:w="0" w:type="dxa"/>
            <w:right w:w="10" w:type="dxa"/>
          </w:tblCellMar>
        </w:tblPrEx>
        <w:trPr>
          <w:gridAfter w:val="4"/>
          <w:wAfter w:w="40" w:type="dxa"/>
          <w:trHeight w:val="136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bl>
    <w:p/>
    <w:sectPr>
      <w:pgSz w:w="11900" w:h="16840"/>
      <w:pgMar w:top="600" w:right="60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nforcement="0"/>
  <w:defaultTabStop w:val="800"/>
  <w:compat>
    <w:useFELayout/>
    <w:splitPgBreakAndParaMark/>
    <w:compatSetting w:name="compatibilityMode" w:uri="http://schemas.microsoft.com/office/word" w:val="12"/>
  </w:compat>
  <w:rsids>
    <w:rsidRoot w:val="00000000"/>
    <w:rsid w:val="140C703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2023-07-20T03:02:37Z</dcterms:created>
  <dc:creator>cib</dc:creator>
  <cp:lastModifiedBy>cib</cp:lastModifiedBy>
  <dcterms:modified xsi:type="dcterms:W3CDTF">2023-07-20T03:04:05Z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