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兴银理财睿动新趋势3号净值型理财产品2023年第二季度报告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兴银理财睿动新趋势3号净值型理财产品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兴银理财睿动新趋势3号净值型理财产品2023年第二季度报告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兴银理财睿动新趋势3号净值型理财产品2023年第二季度报告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兴银理财睿动新趋势3号净值型理财产品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9K215030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Z7002021000200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19,076,000.91份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9K21503A：3.50%--6.00%/6.00%</w:t>
              <w:br/>
              <w:t xml:space="preserve">  9K21503B：3.50%--6.00%/6.00%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兴银睿动3号A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9K21503A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8,805,471.60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兴银睿动3号B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9K21503B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10,270,529.31</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兴银理财睿动新趋势3号净值型理财产品2023年第二季度报告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产品9K21503A自成立日以来，累计净值增长率为-0.7280%，年化累计净值增长率为-0.5100%。</w:t>
              <w:br/>
              <w:t xml:space="preserve">产品9K21503B自成立日以来，累计净值增长率为-0.6170%，年化累计净值增长率为-0.4323%。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18,948,509.08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8,741,394.29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10,207,114.79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二季度，国内经济增速再次回落，通胀下行。政策方面，货币政策总体宽松，银行间资金利率处于低位。债市方面，债券市场收益率明显回落。股市方面，股票市场先下跌后震荡，结构上TMT表现最好。本报告期内，债券仓位持平，但久期有所收窄。权益仓位维持高于中枢的仓位，结构偏向高股息。展望未来，预计经济增速在低位徘徊一定时间后有望上行，但幅度不确定性较大。从大类资产层面看，基本面对固收类资产的利好程度有所下降，权益市场可能会有阶段性的反弹行情。下阶段，本组合将继续维持较短的组合久期，同时择机参与一些权益市场的机会，力争为组合创造稳健的收益。</w:t>
            </w:r>
          </w:p>
        </w:tc>
        <w:tc>
          <w:tcPr>
     </w:tcPr>
          <w:p>
            <w:pPr>
              <w:pStyle w:val="EMPTY_CELL_STYLE"/>
            </w:pPr>
          </w:p>
        </w:tc>
        <w:tc>
          <w:tcPr>
     </w:tcPr>
          <w:p>
            <w:pPr>
              <w:pStyle w:val="EMPTY_CELL_STYLE"/>
            </w:pPr>
          </w:p>
        </w:tc>
        <w:tc>
          <w:tcPr>
     </w:tcPr>
          <w:p>
            <w:pPr>
              <w:pStyle w:val="EMPTY_CELL_STYLE"/>
            </w:pPr>
          </w:p>
        </w:tc>
      </w:tr>
      <w:tr>
        <w:trPr>
          <w:trHeight w:hRule="exact" w:val="2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兴银理财睿动新趋势3号净值型理财产品2023年第二季度报告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3,001,109.58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光大保德信增利收益债券型证券投资基金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1,695,873.79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8.95</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兴银理财睿动新趋势3号净值型理财产品2023年第二季度报告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华泰柏瑞新利C( 002091.OF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1,691,234.84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易方达稳健收益A（110007.OF）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1,501,958.36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国开1802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1,037,143.15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兴业收益增强C（001258.OF）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1,004,467.61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景顺长城景盛双息收益债券型证券投资基金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990,215.26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华商甄选回报混合型证券投资基金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777,345.34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华泰柏瑞富利C 014597.OF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744,116.74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中欧康裕C 004455.OF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489,483.67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兴银理财睿动新趋势3号净值型理财产品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兴银理财睿动新趋势3号净值型理财产品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051010100101342437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兴银理财睿动新趋势3号净值型理财产品</w:t>
                        </w:r>
                      </w:p>
                    </w:tc>
                  </w:tr>
                </w:tbl>
                <w:p>
                  <w:pPr>
                    <w:pStyle w:val="EMPTY_CELL_STYLE"/>
                  </w:pPr>
                </w:p>
              </w:tc>
            </w:tr>
          </w:tbl>
          <w:p>
            <w:pPr>
              <w:pStyle w:val="EMPTY_CELL_STYLE"/>
            </w:pP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兴银理财睿动新趋势3号净值型理财产品2023年第二季度报告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