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兴银理财睿盈优选平衡5号混合类净值型理财产品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兴银理财睿盈优选平衡5号混合类净值型理财产品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1,012,848,098.86份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产品9K220005自成立日以来，累计净值增长率为4.4050%，年化累计净值增长率为1.4657%。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1.04405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1,037,207,700.82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海富通中证短融交易型开放式指数证券投资基金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67,927,354.30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60,918,629.86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35,741,332.51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34,316,693.28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30,759,258.33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30,736,561.77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30,694,028.71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30,649,640.56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30,647,118.24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30,574,704.01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