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411,443,724.61份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产品9K220010自成立日以来，累计净值增长率为-2.8140%，年化累计净值增长率为-1.1619%。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0.97186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0.97186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399,864,979.87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2、目前看，国内经济复苏自下而上看，比较弱。但是自上而下看，对政策也不值得期待。因此消费复苏端，整体不再做太多期待。海外流动性，美国cpi、ppi开始低于预期，美国宏观政策上的拐点在接近。</w:t>
              <w:br/>
              <w:t xml:space="preserve">    3、结构上，目前更加关注周期底部反转的机会，以及国家科技成长产业升级方面的变化。目前组合偏配TMT。关注半导体周期的机会，以及AI等各种衍生的投资机会。对猪周期有一定的配置。还有少量底部的消费医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20,386,189.10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16,338,894.86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华泰柏瑞积极优选股票型证券投资基金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10,683,615.02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招商优势企业灵活配置混合型证券投资基金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10,390,670.17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10,223,521.64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10,211,393.43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10,199,579.02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10,177,334.53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10,171,369.89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10,159,195.08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