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兴银理财万汇通2号B款美元净值型理财产品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兴银理财万汇通2号B款美元净值型理财产品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9W210220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Z7002021000038</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1,837,374.85份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9W21022A：4.58%--4.70%/4.70%</w:t>
              <w:br/>
              <w:t xml:space="preserve">  9W21022B：4.63%--4.75%/4.75%</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万汇通汇盈2号B款A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997,832.22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万汇通汇盈2号B款B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9W21022B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839,542.63</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产品9W21022A自成立日以来，累计净值增长率为2.6710%，年化累计净值增长率为1.2096%。</w:t>
              <w:br/>
              <w:t xml:space="preserve">产品9W21022B自成立日以来，累计净值增长率为2.8280%，年化累计净值增长率为1.2807%。</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1,861,856.01</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1,011,481.69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9W21022B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1.02828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850,374.32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14年投资从业经验，2008年加入兴业银行，先后从事自营投资（货币市场工具、人民币现券、非标、外币现券及各类衍生工具）8年和资管投资（人民币结构性理财、外币理财）6年。擅长境内外宏观市场分析；跨市场套利、跨币种套利，境外债信用价值挖掘；多种金融工具的灵活运用；经历2008年金融危机、2010年欧债危机以及2018年美联储紧缩周期，对境内外市场均有丰富的实战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二季度全球债市受美元走强影响，债市再次下跌，美国无风险收益率较有所上行。美国国债整体收益率-1.38%、美国投资级债券收益率-0.29%、欧元计价投资级债券收益率0.16%、全球投资级债券收益率-1.53%、中资离岸投资级债券收益率0.49%（本产品配置资产均为中资离岸投资级债券）。由于中国经济尚未有企稳的迹象，境内人民币收益率不断走低，企业境内融资成本较境外更低，导致中资机构纷纷回归境内发债，境外中资美元债供应有限，债券上市后表现较为稳定，强需求对估值有较强的支撑。</w:t>
              <w:br/>
              <w:t xml:space="preserve">    产品净值延续去年四季度反弹趋势，于一季度打开后新的周期运作情况良好，净值仍在稳步上行。由于产品规模有限无法配置债券，且产品新周期运作初期存款收益率较高，目前满仓都是存款资产。</w:t>
            </w:r>
          </w:p>
        </w:tc>
        <w:tc>
          <w:tcPr>
     </w:tcPr>
          <w:p>
            <w:pPr>
              <w:pStyle w:val="EMPTY_CELL_STYLE"/>
            </w:pPr>
          </w:p>
        </w:tc>
        <w:tc>
          <w:tcPr>
     </w:tcPr>
          <w:p>
            <w:pPr>
              <w:pStyle w:val="EMPTY_CELL_STYLE"/>
            </w:pPr>
          </w:p>
        </w:tc>
        <w:tc>
          <w:tcPr>
     </w:tcPr>
          <w:p>
            <w:pPr>
              <w:pStyle w:val="EMPTY_CELL_STYLE"/>
            </w:pPr>
          </w:p>
        </w:tc>
      </w:tr>
      <w:tr>
        <w:trPr>
          <w:trHeight w:hRule="exact" w:val="1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Z外币存放20230413001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1,861,222.42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99.97</w:t>
                        </w:r>
                      </w:p>
                    </w:tc>
                  </w:tr>
                </w:tbl>
                <w:p>
                  <w:pPr>
                    <w:pStyle w:val="EMPTY_CELL_STYLE"/>
                  </w:pPr>
                </w:p>
              </w:tc>
            </w:tr>
          </w:tbl>
          <w:p>
            <w:pPr>
              <w:pStyle w:val="EMPTY_CELL_STYLE"/>
            </w:pPr>
          </w:p>
        </w:tc>
        <w:tc>
          <w:tcPr>
     </w:tcPr>
          <w:p>
            <w:pPr>
              <w:pStyle w:val="EMPTY_CELL_STYLE"/>
            </w:pPr>
          </w:p>
        </w:tc>
      </w:tr>
      <w:tr>
        <w:trPr>
          <w:trHeight w:hRule="exact" w:val="37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兴银理财万汇通2号B款美元净值型理财产品2023年第二季度报告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兴银理财万汇通2号B款美元净值型理财产品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兴银理财万汇通2号B款美元净值型理财产品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216201400100271682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兴银理财万汇通2号B款美元净值型理财产品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4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