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347,937,428.67份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产品9K211010自成立日以来，累计净值增长率为11.9520%，年化累计净值增长率为4.0924%。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1.01920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1.11952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354,617,566.36</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1.3年，杠杆130%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产品目前面临打开，主要兼顾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25,049,260.13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徐租18A2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23,230,675.14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15,478,307.67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22焦煤Y1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15,292,044.45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12,748,391.51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22义乌03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12,175,165.32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19空港兴城MTN001B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10,581,613.70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20弘湘01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10,430,149.32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10,408,181.78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10,404,900.27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22良渚文化PPN002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