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7" w:name="_GoBack"/>
            <w:bookmarkEnd w:id="7"/>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兴银理财天天万利宝稳利8号M款净值型理财产品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兴银理财天天万利宝稳利8号M款净值型理财产品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9K209630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Z7002021000214</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241,607,389.15份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9K20963A：3.05%--4.05%/4.05%</w:t>
            </w:r>
            <w:r>
              <w:rPr>
                <w:rFonts w:ascii="宋体" w:hAnsi="宋体" w:eastAsia="宋体" w:cs="宋体"/>
                <w:color w:val="000000"/>
                <w:sz w:val="21"/>
              </w:rPr>
              <w:br w:type="textWrapping"/>
            </w:r>
            <w:r>
              <w:rPr>
                <w:rFonts w:ascii="宋体" w:hAnsi="宋体" w:eastAsia="宋体" w:cs="宋体"/>
                <w:color w:val="000000"/>
                <w:sz w:val="21"/>
              </w:rPr>
              <w:t xml:space="preserve">  9K20963B：2.60%--3.60%/3.10%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稳利恒盈8号M款 6个月B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241,607,389.15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产品9K20963B自成立日以来，累计净值增长率为5.2780%，年化累计净值增长率为3.5091%。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241,839,259.59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241,839,259.59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金晶女士，现任兴银理财专户投资部负责人，专户投资总监。毕业于对外经济贸易大学金融学硕士，拥有16年固定收益投资经验，于2007年加入兴业银行，历任兴业银行资金营运中心债券交易员、兴业银行资产管理部债券投资经理，投资团队主管。目前管理包括“稳利”系列开放式产品、多家大型企金专户定制产品，产品管理规模超过400亿，得到客户高度认可。具有丰富的固定收益产品管理经验，风格稳健，对宏观及利率走势有较为深入的研判，擅长根据市场研判灵活运用多种投资策略，业绩优异。</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3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一、2023年二季度市场回顾与产品投资策略</w:t>
            </w:r>
            <w:r>
              <w:rPr>
                <w:rFonts w:ascii="宋体" w:hAnsi="宋体" w:eastAsia="宋体" w:cs="宋体"/>
                <w:color w:val="000000"/>
                <w:sz w:val="21"/>
              </w:rPr>
              <w:br w:type="textWrapping"/>
            </w:r>
            <w:r>
              <w:rPr>
                <w:rFonts w:ascii="宋体" w:hAnsi="宋体" w:eastAsia="宋体" w:cs="宋体"/>
                <w:color w:val="000000"/>
                <w:sz w:val="21"/>
              </w:rPr>
              <w:t xml:space="preserve">    1、市场回顾</w:t>
            </w:r>
            <w:r>
              <w:rPr>
                <w:rFonts w:ascii="宋体" w:hAnsi="宋体" w:eastAsia="宋体" w:cs="宋体"/>
                <w:color w:val="000000"/>
                <w:sz w:val="21"/>
              </w:rPr>
              <w:br w:type="textWrapping"/>
            </w:r>
            <w:r>
              <w:rPr>
                <w:rFonts w:ascii="宋体" w:hAnsi="宋体" w:eastAsia="宋体" w:cs="宋体"/>
                <w:color w:val="000000"/>
                <w:sz w:val="21"/>
              </w:rP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r>
            <w:r>
              <w:rPr>
                <w:rFonts w:ascii="宋体" w:hAnsi="宋体" w:eastAsia="宋体" w:cs="宋体"/>
                <w:color w:val="000000"/>
                <w:sz w:val="21"/>
              </w:rPr>
              <w:br w:type="textWrapping"/>
            </w:r>
            <w:r>
              <w:rPr>
                <w:rFonts w:ascii="宋体" w:hAnsi="宋体" w:eastAsia="宋体" w:cs="宋体"/>
                <w:color w:val="000000"/>
                <w:sz w:val="21"/>
              </w:rPr>
              <w:t xml:space="preserve">    同时，二季度货币政策边际宽松迹象明显，资金价格较一季度环比大幅下降，同时央行于6月下调OMO及MLF利率，重启降息周期。货币政策的边际宽松成为债市走牛的基础，其余稳增长政策定力较强。</w:t>
            </w:r>
            <w:r>
              <w:rPr>
                <w:rFonts w:ascii="宋体" w:hAnsi="宋体" w:eastAsia="宋体" w:cs="宋体"/>
                <w:color w:val="000000"/>
                <w:sz w:val="21"/>
              </w:rPr>
              <w:br w:type="textWrapping"/>
            </w:r>
            <w:r>
              <w:rPr>
                <w:rFonts w:ascii="宋体" w:hAnsi="宋体" w:eastAsia="宋体" w:cs="宋体"/>
                <w:color w:val="000000"/>
                <w:sz w:val="21"/>
              </w:rP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r>
            <w:r>
              <w:rPr>
                <w:rFonts w:ascii="宋体" w:hAnsi="宋体" w:eastAsia="宋体" w:cs="宋体"/>
                <w:color w:val="000000"/>
                <w:sz w:val="21"/>
              </w:rPr>
              <w:br w:type="textWrapping"/>
            </w:r>
            <w:r>
              <w:rPr>
                <w:rFonts w:ascii="宋体" w:hAnsi="宋体" w:eastAsia="宋体" w:cs="宋体"/>
                <w:color w:val="000000"/>
                <w:sz w:val="21"/>
              </w:rPr>
              <w:t xml:space="preserve">    2、产品运作</w:t>
            </w:r>
            <w:r>
              <w:rPr>
                <w:rFonts w:ascii="宋体" w:hAnsi="宋体" w:eastAsia="宋体" w:cs="宋体"/>
                <w:color w:val="000000"/>
                <w:sz w:val="21"/>
              </w:rPr>
              <w:br w:type="textWrapping"/>
            </w:r>
            <w:r>
              <w:rPr>
                <w:rFonts w:ascii="宋体" w:hAnsi="宋体" w:eastAsia="宋体" w:cs="宋体"/>
                <w:color w:val="000000"/>
                <w:sz w:val="21"/>
              </w:rP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二、2023年三季度展望与投资</w:t>
            </w:r>
            <w:r>
              <w:rPr>
                <w:rFonts w:ascii="宋体" w:hAnsi="宋体" w:eastAsia="宋体" w:cs="宋体"/>
                <w:color w:val="000000"/>
                <w:sz w:val="21"/>
              </w:rPr>
              <w:br w:type="textWrapping"/>
            </w:r>
            <w:r>
              <w:rPr>
                <w:rFonts w:ascii="宋体" w:hAnsi="宋体" w:eastAsia="宋体" w:cs="宋体"/>
                <w:color w:val="000000"/>
                <w:sz w:val="21"/>
              </w:rPr>
              <w:t xml:space="preserve">    1、2023年三季度展望</w:t>
            </w:r>
            <w:r>
              <w:rPr>
                <w:rFonts w:ascii="宋体" w:hAnsi="宋体" w:eastAsia="宋体" w:cs="宋体"/>
                <w:color w:val="000000"/>
                <w:sz w:val="21"/>
              </w:rPr>
              <w:br w:type="textWrapping"/>
            </w: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r>
            <w:r>
              <w:rPr>
                <w:rFonts w:ascii="宋体" w:hAnsi="宋体" w:eastAsia="宋体" w:cs="宋体"/>
                <w:color w:val="000000"/>
                <w:sz w:val="21"/>
              </w:rPr>
              <w:br w:type="textWrapping"/>
            </w:r>
            <w:r>
              <w:rPr>
                <w:rFonts w:ascii="宋体" w:hAnsi="宋体" w:eastAsia="宋体" w:cs="宋体"/>
                <w:color w:val="000000"/>
                <w:sz w:val="21"/>
              </w:rPr>
              <w:t xml:space="preserve">    2、投资策略</w:t>
            </w:r>
            <w:r>
              <w:rPr>
                <w:rFonts w:ascii="宋体" w:hAnsi="宋体" w:eastAsia="宋体" w:cs="宋体"/>
                <w:color w:val="000000"/>
                <w:sz w:val="21"/>
              </w:rPr>
              <w:br w:type="textWrapping"/>
            </w:r>
            <w:r>
              <w:rPr>
                <w:rFonts w:ascii="宋体" w:hAnsi="宋体" w:eastAsia="宋体" w:cs="宋体"/>
                <w:color w:val="000000"/>
                <w:sz w:val="21"/>
              </w:rP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7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80,017,691.62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23娄城高新SCP004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20,154,516.83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23新锦01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20,151,985.75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23石狮产业SCP003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20,014,970.16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23吴中城投PPN003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19,969,311.15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15,367,408.15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20乐山国资MTN001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10,323,734.79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23青岛北发MTN002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9,992,794.10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23扬州03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9,987,481.92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杭州萧山经济技术开发区国有资本控股集团有限公司2023年面向专业投资者非公开发行公司债券(第一期)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814,806.96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23石狮产业SCP003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兴银理财天天万利宝稳利8号M款净值型理财产品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兴银理财天天万利宝稳利8号M款净值型理财产品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兴银理财天天万利宝稳利8号M款净值型理财产品2023年第二季度报告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051010100101322768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兴银理财天天万利宝稳利8号M款净值型理财产品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00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2023-07-20T02:41:46Z</dcterms:created>
  <dc:creator>cib</dc:creator>
  <cp:lastModifiedBy>cib</cp:lastModifiedBy>
  <dcterms:modified xsi:type="dcterms:W3CDTF">2023-07-20T02:48:44Z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