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2,387,470,433.23份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产品9K212800自成立日以来，累计净值增长率为-22.2470%，年化累计净值增长率为-9.3121%。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0.77753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0.77753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1,856,335,839.77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100,016,268.42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鹏华中证酒ETF（512690.SH）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75,128,780.40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华安智能装备主题股票型证券投资基金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68,046,362.58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景顺长城电子信息产业股票型证券投资基金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60,828,994.33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55,535,167.93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创金合信中证红利低波动指数发起式证券投资基金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52,500,640.78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鹏华新能源精选C（011957.OF）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51,203,532.58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华夏新能源车龙头混合型发起式证券投资基金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50,476,455.46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上投摩根健康品质生活混合型证券投资基金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50,212,491.59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博时中证可转债及可交换债券交易型开放式指数证券投资基金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50,119,400.10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