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480"/>
        <w:gridCol w:w="200"/>
        <w:gridCol w:w="1"/>
        <w:gridCol w:w="19"/>
        <w:gridCol w:w="1"/>
        <w:gridCol w:w="19"/>
        <w:gridCol w:w="1"/>
        <w:gridCol w:w="59"/>
        <w:gridCol w:w="1"/>
        <w:gridCol w:w="59"/>
        <w:gridCol w:w="1"/>
        <w:gridCol w:w="139"/>
        <w:gridCol w:w="1"/>
      </w:tblGrid>
      <w:tr>
        <w:tblPrEx>
          <w:tblCellMar>
            <w:top w:w="0" w:type="dxa"/>
            <w:left w:w="10" w:type="dxa"/>
            <w:bottom w:w="0" w:type="dxa"/>
            <w:right w:w="10" w:type="dxa"/>
          </w:tblCellMar>
        </w:tblPrEx>
        <w:trPr>
          <w:gridAfter w:val="10"/>
          <w:trHeight w:val="0" w:hRule="atLeast"/>
        </w:trPr>
        <w:tc>
          <w:p>
            <w:pPr>
              <w:pStyle w:val="4"/>
            </w:pPr>
            <w:bookmarkStart w:id="0" w:name="JR_PAGE_ANCHOR_0_1"/>
            <w:bookmarkEnd w:id="0"/>
            <w:bookmarkStart w:id="9" w:name="_GoBack"/>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10"/>
          <w:trHeight w:val="400" w:hRule="atLeast"/>
        </w:trPr>
        <w:tc>
          <w:p>
            <w:pPr>
              <w:pStyle w:val="4"/>
            </w:pPr>
          </w:p>
        </w:tc>
        <w:tc>
          <w:tcPr>
            <w:gridSpan w:val="14"/>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 2023年第二季度报告</w:t>
            </w:r>
          </w:p>
        </w:tc>
        <w:tc>
          <w:p>
            <w:pPr>
              <w:pStyle w:val="4"/>
            </w:pPr>
          </w:p>
        </w:tc>
      </w:tr>
      <w:tr>
        <w:tblPrEx>
          <w:tblCellMar>
            <w:top w:w="0" w:type="dxa"/>
            <w:left w:w="10" w:type="dxa"/>
            <w:bottom w:w="0" w:type="dxa"/>
            <w:right w:w="10" w:type="dxa"/>
          </w:tblCellMar>
        </w:tblPrEx>
        <w:trPr>
          <w:gridAfter w:val="10"/>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10"/>
          <w:trHeight w:val="20" w:hRule="exact"/>
        </w:trPr>
        <w:tc>
          <w:p>
            <w:pPr>
              <w:pStyle w:val="4"/>
            </w:pPr>
          </w:p>
        </w:tc>
        <w:tc>
          <w:tcPr>
            <w:gridSpan w:val="14"/>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10"/>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10"/>
          <w:trHeight w:val="3020" w:hRule="atLeast"/>
        </w:trPr>
        <w:tc>
          <w:p>
            <w:pPr>
              <w:pStyle w:val="4"/>
            </w:pPr>
          </w:p>
        </w:tc>
        <w:tc>
          <w:tcPr>
            <w:gridSpan w:val="14"/>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 xml:space="preserve">兴银理财日日新2号净值型理财产品 </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10"/>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10"/>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10"/>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10"/>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2"/>
          </w:tcPr>
          <w:p>
            <w:pPr>
              <w:pStyle w:val="4"/>
            </w:pPr>
          </w:p>
        </w:tc>
        <w:tc>
          <w:p>
            <w:pPr>
              <w:pStyle w:val="4"/>
            </w:pPr>
          </w:p>
        </w:tc>
      </w:tr>
      <w:tr>
        <w:tblPrEx>
          <w:tblCellMar>
            <w:top w:w="0" w:type="dxa"/>
            <w:left w:w="10" w:type="dxa"/>
            <w:bottom w:w="0" w:type="dxa"/>
            <w:right w:w="10" w:type="dxa"/>
          </w:tblCellMar>
        </w:tblPrEx>
        <w:trPr>
          <w:gridAfter w:val="10"/>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10"/>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10"/>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10"/>
          <w:trHeight w:val="400" w:hRule="atLeast"/>
        </w:trPr>
        <w:tc>
          <w:p>
            <w:pPr>
              <w:pStyle w:val="4"/>
            </w:pPr>
          </w:p>
        </w:tc>
        <w:tc>
          <w:tcPr>
            <w:gridSpan w:val="14"/>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 2023年第二季度报告</w:t>
            </w:r>
          </w:p>
        </w:tc>
        <w:tc>
          <w:p>
            <w:pPr>
              <w:pStyle w:val="4"/>
            </w:pPr>
          </w:p>
        </w:tc>
      </w:tr>
      <w:tr>
        <w:tblPrEx>
          <w:tblCellMar>
            <w:top w:w="0" w:type="dxa"/>
            <w:left w:w="10" w:type="dxa"/>
            <w:bottom w:w="0" w:type="dxa"/>
            <w:right w:w="10" w:type="dxa"/>
          </w:tblCellMar>
        </w:tblPrEx>
        <w:trPr>
          <w:gridAfter w:val="10"/>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10"/>
          <w:trHeight w:val="20" w:hRule="exact"/>
        </w:trPr>
        <w:tc>
          <w:p>
            <w:pPr>
              <w:pStyle w:val="4"/>
            </w:pPr>
          </w:p>
        </w:tc>
        <w:tc>
          <w:tcPr>
            <w:gridSpan w:val="14"/>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10"/>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10"/>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10"/>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10"/>
          <w:trHeight w:val="6840" w:hRule="atLeast"/>
        </w:trPr>
        <w:tc>
          <w:p>
            <w:pPr>
              <w:pStyle w:val="4"/>
            </w:pPr>
          </w:p>
        </w:tc>
        <w:tc>
          <w:tcPr>
            <w:gridSpan w:val="3"/>
          </w:tcPr>
          <w:p>
            <w:pPr>
              <w:pStyle w:val="4"/>
            </w:pPr>
          </w:p>
        </w:tc>
        <w:tc>
          <w:tcPr>
            <w:gridSpan w:val="10"/>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影响理财份额投资人决策的其他重要信息</w:t>
            </w:r>
          </w:p>
        </w:tc>
        <w:tc>
          <w:p>
            <w:pPr>
              <w:pStyle w:val="4"/>
            </w:pPr>
          </w:p>
        </w:tc>
        <w:tc>
          <w:p>
            <w:pPr>
              <w:pStyle w:val="4"/>
            </w:pPr>
          </w:p>
        </w:tc>
      </w:tr>
      <w:tr>
        <w:tblPrEx>
          <w:tblCellMar>
            <w:top w:w="0" w:type="dxa"/>
            <w:left w:w="10" w:type="dxa"/>
            <w:bottom w:w="0" w:type="dxa"/>
            <w:right w:w="10" w:type="dxa"/>
          </w:tblCellMar>
        </w:tblPrEx>
        <w:trPr>
          <w:gridAfter w:val="10"/>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10"/>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10"/>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10"/>
          <w:trHeight w:val="400" w:hRule="atLeast"/>
        </w:trPr>
        <w:tc>
          <w:p>
            <w:pPr>
              <w:pStyle w:val="4"/>
            </w:pPr>
          </w:p>
        </w:tc>
        <w:tc>
          <w:tcPr>
            <w:gridSpan w:val="14"/>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 2023年第二季度报告</w:t>
            </w:r>
          </w:p>
        </w:tc>
        <w:tc>
          <w:p>
            <w:pPr>
              <w:pStyle w:val="4"/>
            </w:pPr>
          </w:p>
        </w:tc>
      </w:tr>
      <w:tr>
        <w:tblPrEx>
          <w:tblCellMar>
            <w:top w:w="0" w:type="dxa"/>
            <w:left w:w="10" w:type="dxa"/>
            <w:bottom w:w="0" w:type="dxa"/>
            <w:right w:w="10" w:type="dxa"/>
          </w:tblCellMar>
        </w:tblPrEx>
        <w:trPr>
          <w:gridAfter w:val="10"/>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10"/>
          <w:trHeight w:val="20" w:hRule="exact"/>
        </w:trPr>
        <w:tc>
          <w:p>
            <w:pPr>
              <w:pStyle w:val="4"/>
            </w:pPr>
          </w:p>
        </w:tc>
        <w:tc>
          <w:tcPr>
            <w:gridSpan w:val="14"/>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10"/>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10"/>
          <w:trHeight w:val="600" w:hRule="atLeast"/>
        </w:trPr>
        <w:tc>
          <w:p>
            <w:pPr>
              <w:pStyle w:val="4"/>
            </w:pPr>
          </w:p>
        </w:tc>
        <w:tc>
          <w:tcPr>
            <w:gridSpan w:val="14"/>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10"/>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10"/>
          <w:trHeight w:val="3080" w:hRule="atLeast"/>
        </w:trPr>
        <w:tc>
          <w:p>
            <w:pPr>
              <w:pStyle w:val="4"/>
            </w:pPr>
          </w:p>
        </w:tc>
        <w:tc>
          <w:tcPr>
            <w:gridSpan w:val="14"/>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10"/>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10"/>
          <w:trHeight w:val="600" w:hRule="atLeast"/>
        </w:trPr>
        <w:tc>
          <w:p>
            <w:pPr>
              <w:pStyle w:val="4"/>
            </w:pPr>
          </w:p>
        </w:tc>
        <w:tc>
          <w:tcPr>
            <w:gridSpan w:val="14"/>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10"/>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10"/>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 xml:space="preserve">兴银理财日日新2号净值型理财产品 </w:t>
            </w:r>
          </w:p>
        </w:tc>
        <w:tc>
          <w:p>
            <w:pPr>
              <w:pStyle w:val="4"/>
            </w:pPr>
          </w:p>
        </w:tc>
      </w:tr>
      <w:tr>
        <w:tblPrEx>
          <w:tblCellMar>
            <w:top w:w="0" w:type="dxa"/>
            <w:left w:w="10" w:type="dxa"/>
            <w:bottom w:w="0" w:type="dxa"/>
            <w:right w:w="10" w:type="dxa"/>
          </w:tblCellMar>
        </w:tblPrEx>
        <w:trPr>
          <w:gridAfter w:val="10"/>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9B310100</w:t>
            </w:r>
          </w:p>
        </w:tc>
        <w:tc>
          <w:p>
            <w:pPr>
              <w:pStyle w:val="4"/>
            </w:pPr>
          </w:p>
        </w:tc>
      </w:tr>
      <w:tr>
        <w:tblPrEx>
          <w:tblCellMar>
            <w:top w:w="0" w:type="dxa"/>
            <w:left w:w="10" w:type="dxa"/>
            <w:bottom w:w="0" w:type="dxa"/>
            <w:right w:w="10" w:type="dxa"/>
          </w:tblCellMar>
        </w:tblPrEx>
        <w:trPr>
          <w:gridAfter w:val="10"/>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Z7002021000126</w:t>
            </w:r>
          </w:p>
        </w:tc>
        <w:tc>
          <w:p>
            <w:pPr>
              <w:pStyle w:val="4"/>
            </w:pPr>
          </w:p>
        </w:tc>
      </w:tr>
      <w:tr>
        <w:tblPrEx>
          <w:tblCellMar>
            <w:top w:w="0" w:type="dxa"/>
            <w:left w:w="10" w:type="dxa"/>
            <w:bottom w:w="0" w:type="dxa"/>
            <w:right w:w="10" w:type="dxa"/>
          </w:tblCellMar>
        </w:tblPrEx>
        <w:trPr>
          <w:gridAfter w:val="10"/>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10"/>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10"/>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10"/>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13,880,452,358.9份</w:t>
            </w:r>
          </w:p>
        </w:tc>
        <w:tc>
          <w:p>
            <w:pPr>
              <w:pStyle w:val="4"/>
            </w:pPr>
          </w:p>
        </w:tc>
      </w:tr>
      <w:tr>
        <w:tblPrEx>
          <w:tblCellMar>
            <w:top w:w="0" w:type="dxa"/>
            <w:left w:w="10" w:type="dxa"/>
            <w:bottom w:w="0" w:type="dxa"/>
            <w:right w:w="10" w:type="dxa"/>
          </w:tblCellMar>
        </w:tblPrEx>
        <w:trPr>
          <w:gridAfter w:val="10"/>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10"/>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10"/>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10"/>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10"/>
          <w:trHeight w:val="3000" w:hRule="exact"/>
        </w:trPr>
        <w:tc>
          <w:p>
            <w:pPr>
              <w:pStyle w:val="4"/>
            </w:pPr>
          </w:p>
        </w:tc>
        <w:tc>
          <w:tcPr>
            <w:gridSpan w:val="14"/>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日日新2号A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9B31010A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6,092,656,926.39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兴银日日新2号B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9B31010B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5,985,524,358.62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兴银日日新2号C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9B31010C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172,801,091.03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兴银日日新2号D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9B31010D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99,190,964.04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10"/>
          <w:trHeight w:val="4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10"/>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3" w:name="JR_PAGE_ANCHOR_0_4"/>
            <w:bookmarkEnd w:id="3"/>
          </w:p>
        </w:tc>
        <w:tc>
          <w:tcPr>
            <w:gridSpan w:val="6"/>
          </w:tcPr>
          <w:p>
            <w:pPr>
              <w:pStyle w:val="4"/>
            </w:pPr>
          </w:p>
        </w:tc>
        <w:tc>
          <w:tcPr>
            <w:gridSpan w:val="3"/>
          </w:tcPr>
          <w:p>
            <w:pPr>
              <w:pStyle w:val="4"/>
            </w:pPr>
          </w:p>
        </w:tc>
        <w:tc>
          <w:tcPr>
            <w:gridSpan w:val="2"/>
          </w:tcPr>
          <w:p>
            <w:pPr>
              <w:pStyle w:val="4"/>
            </w:pPr>
          </w:p>
        </w:tc>
        <w:tc>
          <w:tcPr>
            <w:gridSpan w:val="3"/>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4"/>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 2023年第二季度报告</w:t>
            </w: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3"/>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4"/>
            <w:tcBorders>
              <w:top w:val="single" w:color="000000" w:sz="8" w:space="0"/>
            </w:tcBorders>
            <w:shd w:val="clear" w:color="auto" w:fill="FFFFFF"/>
            <w:tcMar>
              <w:top w:w="0" w:type="dxa"/>
              <w:left w:w="0" w:type="dxa"/>
              <w:bottom w:w="0" w:type="dxa"/>
              <w:right w:w="0" w:type="dxa"/>
            </w:tcMar>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3600" w:hRule="exact"/>
        </w:trPr>
        <w:tc>
          <w:p>
            <w:pPr>
              <w:pStyle w:val="4"/>
            </w:pPr>
          </w:p>
        </w:tc>
        <w:tc>
          <w:tcPr>
            <w:gridSpan w:val="14"/>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添利日日新2号E</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9B31010E</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747,133,021.92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兴银日日新2号F</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9B31010F</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174,532,004.77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兴银理财日日新2号（私行）</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9B31010G</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600,963,553.43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兴银日日新2号H</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9B31010H</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7,638,420.83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兴银日日新2号I</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9B31010I</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12,017.87</w:t>
                        </w:r>
                      </w:p>
                    </w:tc>
                  </w:tr>
                </w:tbl>
                <w:p>
                  <w:pPr>
                    <w:pStyle w:val="4"/>
                  </w:pPr>
                </w:p>
              </w:tc>
            </w:tr>
          </w:tbl>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3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3"/>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4"/>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30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3"/>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1240" w:hRule="atLeast"/>
        </w:trPr>
        <w:tc>
          <w:p>
            <w:pPr>
              <w:pStyle w:val="4"/>
            </w:pPr>
          </w:p>
        </w:tc>
        <w:tc>
          <w:tcPr>
            <w:gridSpan w:val="14"/>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 xml:space="preserve">    报告期内，9B31010A七日年化收益率均值2.4229%，9B31010B七日年化收益率均值2.1665%，9B31010C七日年化收益率均值2.4725%，9B31010D七日年化收益率均值2.5776%，9B31010E七日年化收益率均值2.5622%，9B31010F七日年化收益率均值2.5636%，9B31010G七日年化收益率均值2.4233%，9B31010H七日年化收益率均值2.3272%，9B31010I七日年化收益率均值2.2128%。同期业绩比较基准¹如下：</w:t>
            </w: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16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3"/>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6000" w:hRule="exact"/>
        </w:trPr>
        <w:tc>
          <w:p>
            <w:pPr>
              <w:pStyle w:val="4"/>
            </w:pPr>
          </w:p>
        </w:tc>
        <w:tc>
          <w:tcPr>
            <w:gridSpan w:val="20"/>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8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8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9B31010D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2023-04-01至2023-06-30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8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9B31010G</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2023-04-25至2023-06-30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8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9B31010I</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2023-06-02至2023-06-30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8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9B31010C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2023-04-01至2023-06-30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8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9B31010F</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2023-04-26至2023-06-30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8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9B31010H</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2023-04-26至2023-06-30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8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9B31010B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2023-04-01至2023-06-30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8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9B31010A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2023-04-01至2023-06-30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8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9B31010E</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2023-04-26至2023-06-30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8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3"/>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20"/>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p>
            <w:pPr>
              <w:pStyle w:val="4"/>
            </w:pPr>
          </w:p>
        </w:tc>
      </w:tr>
      <w:tr>
        <w:tblPrEx>
          <w:tblCellMar>
            <w:top w:w="0" w:type="dxa"/>
            <w:left w:w="10" w:type="dxa"/>
            <w:bottom w:w="0" w:type="dxa"/>
            <w:right w:w="10" w:type="dxa"/>
          </w:tblCellMar>
        </w:tblPrEx>
        <w:trPr>
          <w:gridAfter w:val="4"/>
          <w:trHeight w:val="1980" w:hRule="exact"/>
        </w:trPr>
        <w:tc>
          <w:p>
            <w:pPr>
              <w:pStyle w:val="4"/>
            </w:pPr>
          </w:p>
        </w:tc>
        <w:tc>
          <w:tcPr>
            <w:gridSpan w:val="6"/>
          </w:tcPr>
          <w:p>
            <w:pPr>
              <w:pStyle w:val="4"/>
            </w:pPr>
          </w:p>
        </w:tc>
        <w:tc>
          <w:tcPr>
            <w:gridSpan w:val="3"/>
          </w:tcPr>
          <w:p>
            <w:pPr>
              <w:pStyle w:val="4"/>
            </w:pPr>
          </w:p>
        </w:tc>
        <w:tc>
          <w:tcPr>
            <w:gridSpan w:val="2"/>
          </w:tcPr>
          <w:p>
            <w:pPr>
              <w:pStyle w:val="4"/>
            </w:pPr>
          </w:p>
        </w:tc>
        <w:tc>
          <w:tcPr>
            <w:gridSpan w:val="3"/>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3"/>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4"/>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 2023年第二季度报告</w:t>
            </w: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4"/>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22"/>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r>
      <w:tr>
        <w:tblPrEx>
          <w:tblCellMar>
            <w:top w:w="0" w:type="dxa"/>
            <w:left w:w="10" w:type="dxa"/>
            <w:bottom w:w="0" w:type="dxa"/>
            <w:right w:w="10" w:type="dxa"/>
          </w:tblCellMar>
        </w:tblPrEx>
        <w:trPr>
          <w:gridAfter w:val="2"/>
          <w:trHeight w:val="1200" w:hRule="exact"/>
        </w:trPr>
        <w:tc>
          <w:p>
            <w:pPr>
              <w:pStyle w:val="4"/>
            </w:pPr>
          </w:p>
        </w:tc>
        <w:tc>
          <w:tcPr>
            <w:gridSpan w:val="14"/>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2200"/>
              <w:gridCol w:w="1800"/>
              <w:gridCol w:w="2000"/>
              <w:gridCol w:w="27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万份收益</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七日年化收益率</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0.5816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2.2150%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13,880,452,358.90</w:t>
                        </w:r>
                      </w:p>
                    </w:tc>
                  </w:tr>
                </w:tbl>
                <w:p>
                  <w:pPr>
                    <w:pStyle w:val="4"/>
                  </w:pPr>
                </w:p>
              </w:tc>
            </w:tr>
          </w:tbl>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6000" w:hRule="exact"/>
        </w:trPr>
        <w:tc>
          <w:p>
            <w:pPr>
              <w:pStyle w:val="4"/>
            </w:pPr>
          </w:p>
        </w:tc>
        <w:tc>
          <w:tcPr>
            <w:gridSpan w:val="14"/>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2200"/>
              <w:gridCol w:w="1800"/>
              <w:gridCol w:w="2000"/>
              <w:gridCol w:w="27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万份收益</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七日年化收益率</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0.6045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6,092,656,926.39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0.5446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2.0820%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5,985,524,358.62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0.6319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2.3910%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172,801,091.03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0.6602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99,190,964.04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9B31010E</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0.6428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2.4490%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747,133,021.92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9B31010F</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0.6456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2.4530%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174,532,004.77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9B31010G</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0.5953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2.2680%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600,963,553.43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9B31010H</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0.5793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2.1770%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7,638,420.83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9B31010I</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0.5658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2.1140%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12,017.87</w:t>
                        </w:r>
                      </w:p>
                    </w:tc>
                  </w:tr>
                </w:tbl>
                <w:p>
                  <w:pPr>
                    <w:pStyle w:val="4"/>
                  </w:pPr>
                </w:p>
              </w:tc>
            </w:tr>
          </w:tbl>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4"/>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2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1560" w:hRule="atLeast"/>
        </w:trPr>
        <w:tc>
          <w:p>
            <w:pPr>
              <w:pStyle w:val="4"/>
            </w:pPr>
          </w:p>
        </w:tc>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汪锦女士，上海财经大学管理学学士、经济学硕士，国际金融理财师（CFP），中级经济师职称。银行理财产品创设、投资从业14年。 2008年任上海银行金融市场部同业“利多系列”产品投资经理；2013年加入兴业银行总行资产管理部历任同业“稳增1号”、“稳增2号”投资经理。2016年起，负责资产管理部流动性管理，管理总规模逾万亿，擅长大资金的资产配置和流动性管理；2019年转入兴银理财，现担任兴银理财添利9号、添利5号、添利10号、日日新2号和现金宝4号净值型理财产品投资经理。</w:t>
            </w: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6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4"/>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1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3220" w:hRule="atLeast"/>
        </w:trPr>
        <w:tc>
          <w:p>
            <w:pPr>
              <w:pStyle w:val="4"/>
            </w:pPr>
          </w:p>
        </w:tc>
        <w:tc>
          <w:tcPr>
            <w:gridSpan w:val="14"/>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 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r>
            <w:r>
              <w:rPr>
                <w:rFonts w:ascii="宋体" w:hAnsi="宋体" w:eastAsia="宋体" w:cs="宋体"/>
                <w:color w:val="000000"/>
                <w:sz w:val="21"/>
              </w:rPr>
              <w:br w:type="textWrapping"/>
            </w:r>
            <w:r>
              <w:rPr>
                <w:rFonts w:ascii="宋体" w:hAnsi="宋体" w:eastAsia="宋体" w:cs="宋体"/>
                <w:color w:val="000000"/>
                <w:sz w:val="21"/>
              </w:rP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w:t>
            </w: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3"/>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8"/>
          <w:trHeight w:val="0" w:hRule="atLeast"/>
        </w:trPr>
        <w:tc>
          <w:p>
            <w:pPr>
              <w:pStyle w:val="4"/>
              <w:pageBreakBefore/>
            </w:pPr>
            <w:bookmarkStart w:id="5" w:name="JR_PAGE_ANCHOR_0_6"/>
            <w:bookmarkEnd w:id="5"/>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tcPr>
            <w:gridSpan w:val="14"/>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 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20" w:hRule="exact"/>
        </w:trPr>
        <w:tc>
          <w:p>
            <w:pPr>
              <w:pStyle w:val="4"/>
            </w:pPr>
          </w:p>
        </w:tc>
        <w:tc>
          <w:tcPr>
            <w:gridSpan w:val="14"/>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6600" w:hRule="atLeast"/>
        </w:trPr>
        <w:tc>
          <w:p>
            <w:pPr>
              <w:pStyle w:val="4"/>
            </w:pPr>
          </w:p>
        </w:tc>
        <w:tc>
          <w:tcPr>
            <w:gridSpan w:val="14"/>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 前期运作回顾</w:t>
            </w:r>
            <w:r>
              <w:rPr>
                <w:rFonts w:ascii="宋体" w:hAnsi="宋体" w:eastAsia="宋体" w:cs="宋体"/>
                <w:color w:val="000000"/>
                <w:sz w:val="21"/>
              </w:rPr>
              <w:br w:type="textWrapping"/>
            </w:r>
            <w:r>
              <w:rPr>
                <w:rFonts w:ascii="宋体" w:hAnsi="宋体" w:eastAsia="宋体" w:cs="宋体"/>
                <w:color w:val="000000"/>
                <w:sz w:val="21"/>
              </w:rPr>
              <w:t xml:space="preserve">    本产品始终将保持流动性安全和防范信用风险作为第一要务，在此基础上通过稳健的投资风格实现相对有竞争力的收益。报告期内，本产品规模稳中略降，杠杆平稳，运作安全。二季度以来，经济动能放缓、货币政策宽松、存款利率调降等因素促使债券利率加速下行。特别是利率债，相比信用债下行幅度更大，利差从5月开始呈现被动走阔。</w:t>
            </w:r>
            <w:r>
              <w:rPr>
                <w:rFonts w:ascii="宋体" w:hAnsi="宋体" w:eastAsia="宋体" w:cs="宋体"/>
                <w:color w:val="000000"/>
                <w:sz w:val="21"/>
              </w:rPr>
              <w:br w:type="textWrapping"/>
            </w:r>
            <w:r>
              <w:rPr>
                <w:rFonts w:ascii="宋体" w:hAnsi="宋体" w:eastAsia="宋体" w:cs="宋体"/>
                <w:color w:val="000000"/>
                <w:sz w:val="21"/>
              </w:rPr>
              <w:t xml:space="preserve">    配置策略上，积极把握资金面波动带来的市场阶段性高点的买入机会，尤其是季度末、缴税等关键时间节点，都是短期资产建仓的买点。资产品种上，依然以同业存单、高等级信用债、存放同业、ABS等品种为主，并抓住季度末时点布局了一批利率债，为三季度打下基础。此外，组合久期维持在80-100天，产品收益率先降后升，保持市场前列，具有竞争优势。</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三 后期投资策略</w:t>
            </w:r>
            <w:r>
              <w:rPr>
                <w:rFonts w:ascii="宋体" w:hAnsi="宋体" w:eastAsia="宋体" w:cs="宋体"/>
                <w:color w:val="000000"/>
                <w:sz w:val="21"/>
              </w:rPr>
              <w:br w:type="textWrapping"/>
            </w:r>
            <w:r>
              <w:rPr>
                <w:rFonts w:ascii="宋体" w:hAnsi="宋体" w:eastAsia="宋体" w:cs="宋体"/>
                <w:color w:val="000000"/>
                <w:sz w:val="21"/>
              </w:rP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知》的相关要求，持续动态监控产品投资组合，保障产品合规、平稳地运作。</w:t>
            </w: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600" w:hRule="atLeast"/>
        </w:trPr>
        <w:tc>
          <w:p>
            <w:pPr>
              <w:pStyle w:val="4"/>
            </w:pPr>
          </w:p>
        </w:tc>
        <w:tc>
          <w:tcPr>
            <w:gridSpan w:val="14"/>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8"/>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3600" w:hRule="exact"/>
        </w:trPr>
        <w:tc>
          <w:p>
            <w:pPr>
              <w:pStyle w:val="4"/>
            </w:pPr>
          </w:p>
        </w:tc>
        <w:tc>
          <w:p>
            <w:pPr>
              <w:pStyle w:val="4"/>
            </w:pPr>
          </w:p>
        </w:tc>
        <w:tc>
          <w:tcPr>
            <w:gridSpan w:val="15"/>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8"/>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600" w:hRule="atLeast"/>
        </w:trPr>
        <w:tc>
          <w:p>
            <w:pPr>
              <w:pStyle w:val="4"/>
            </w:pPr>
          </w:p>
        </w:tc>
        <w:tc>
          <w:tcPr>
            <w:gridSpan w:val="14"/>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1000" w:hRule="atLeast"/>
        </w:trPr>
        <w:tc>
          <w:p>
            <w:pPr>
              <w:pStyle w:val="4"/>
            </w:pPr>
          </w:p>
        </w:tc>
        <w:tc>
          <w:tcPr>
            <w:gridSpan w:val="14"/>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报告期末本产品总资产未超过该产品净资产规模的120%，符合产品协议对本产品杠杆比例的要求。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18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8"/>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3"/>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0" w:hRule="atLeast"/>
        </w:trPr>
        <w:tc>
          <w:p>
            <w:pPr>
              <w:pStyle w:val="4"/>
              <w:pageBreakBefore/>
            </w:pPr>
            <w:bookmarkStart w:id="6" w:name="JR_PAGE_ANCHOR_0_7"/>
            <w:bookmarkEnd w:id="6"/>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3"/>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400" w:hRule="atLeast"/>
        </w:trPr>
        <w:tc>
          <w:p>
            <w:pPr>
              <w:pStyle w:val="4"/>
            </w:pPr>
          </w:p>
        </w:tc>
        <w:tc>
          <w:tcPr>
            <w:gridSpan w:val="14"/>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 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3"/>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20" w:hRule="exact"/>
        </w:trPr>
        <w:tc>
          <w:p>
            <w:pPr>
              <w:pStyle w:val="4"/>
            </w:pPr>
          </w:p>
        </w:tc>
        <w:tc>
          <w:tcPr>
            <w:gridSpan w:val="14"/>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600" w:hRule="atLeast"/>
        </w:trPr>
        <w:tc>
          <w:p>
            <w:pPr>
              <w:pStyle w:val="4"/>
            </w:pPr>
          </w:p>
        </w:tc>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2580" w:hRule="atLeast"/>
        </w:trPr>
        <w:tc>
          <w:p>
            <w:pPr>
              <w:pStyle w:val="4"/>
            </w:pPr>
          </w:p>
        </w:tc>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3"/>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6"/>
          <w:trHeight w:val="66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农业银行上海分行活期存款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650,873,611.08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Z存放同业（线上）20230506005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502,061,111.36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23CSFD128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501,907,260.27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428,498,234.13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定期存款20230307015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403,877,260.56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定期存款20230529005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401,048,767.06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定期存款20230516004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351,272,945.15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兴业银行活期存款（北京）</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310,022,388.89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Z存放同业（线上）20221108019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304,210,417.45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定期存款20230228016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302,982,329.34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6"/>
          <w:trHeight w:val="3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3"/>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6"/>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3"/>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10"/>
          <w:trHeight w:val="0" w:hRule="atLeast"/>
        </w:trPr>
        <w:tc>
          <w:p>
            <w:pPr>
              <w:pStyle w:val="4"/>
              <w:pageBreakBefore/>
            </w:pPr>
            <w:bookmarkStart w:id="7" w:name="JR_PAGE_ANCHOR_0_8"/>
            <w:bookmarkEnd w:id="7"/>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10"/>
          <w:trHeight w:val="400" w:hRule="atLeast"/>
        </w:trPr>
        <w:tc>
          <w:p>
            <w:pPr>
              <w:pStyle w:val="4"/>
            </w:pPr>
          </w:p>
        </w:tc>
        <w:tc>
          <w:tcPr>
            <w:gridSpan w:val="14"/>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 2023年第二季度报告</w:t>
            </w:r>
          </w:p>
        </w:tc>
        <w:tc>
          <w:p>
            <w:pPr>
              <w:pStyle w:val="4"/>
            </w:pPr>
          </w:p>
        </w:tc>
      </w:tr>
      <w:tr>
        <w:tblPrEx>
          <w:tblCellMar>
            <w:top w:w="0" w:type="dxa"/>
            <w:left w:w="10" w:type="dxa"/>
            <w:bottom w:w="0" w:type="dxa"/>
            <w:right w:w="10" w:type="dxa"/>
          </w:tblCellMar>
        </w:tblPrEx>
        <w:trPr>
          <w:gridAfter w:val="10"/>
          <w:trHeight w:val="2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10"/>
          <w:trHeight w:val="20" w:hRule="exact"/>
        </w:trPr>
        <w:tc>
          <w:p>
            <w:pPr>
              <w:pStyle w:val="4"/>
            </w:pPr>
          </w:p>
        </w:tc>
        <w:tc>
          <w:tcPr>
            <w:gridSpan w:val="14"/>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10"/>
          <w:trHeight w:val="600" w:hRule="atLeast"/>
        </w:trPr>
        <w:tc>
          <w:p>
            <w:pPr>
              <w:pStyle w:val="4"/>
            </w:pPr>
          </w:p>
        </w:tc>
        <w:tc>
          <w:tcPr>
            <w:gridSpan w:val="14"/>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10"/>
          <w:trHeight w:val="400" w:hRule="atLeast"/>
        </w:trPr>
        <w:tc>
          <w:p>
            <w:pPr>
              <w:pStyle w:val="4"/>
            </w:pPr>
          </w:p>
        </w:tc>
        <w:tc>
          <w:tcPr>
            <w:gridSpan w:val="4"/>
          </w:tcPr>
          <w:p>
            <w:pPr>
              <w:pStyle w:val="4"/>
            </w:pPr>
          </w:p>
        </w:tc>
        <w:tc>
          <w:tcPr>
            <w:gridSpan w:val="10"/>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10"/>
          <w:trHeight w:val="13200" w:hRule="exact"/>
        </w:trPr>
        <w:tc>
          <w:p>
            <w:pPr>
              <w:pStyle w:val="4"/>
            </w:pPr>
          </w:p>
        </w:tc>
        <w:tc>
          <w:tcPr>
            <w:gridSpan w:val="14"/>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20常城建PPN003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20东方债02BC</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20深圳资本MTN001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21大悦城MTN001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21中色MTN002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22杭金投SCP010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22厦国贸控SCP008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22湘高速CP004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23福州新发SCP001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23辽成大CP001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23南京医药SCP003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23青岛华通CP001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23陕煤化SCP002(科创票据)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23象屿金象CP001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23新中泰集SCP001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23新中泰集SCP002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23一汽租赁CP001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23一汽租赁SCP004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23正泰SCP002(科创票据)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23中原资产SCP002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23鲲鹏资本SCP005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10"/>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10"/>
          <w:trHeight w:val="400" w:hRule="atLeast"/>
        </w:trPr>
        <w:tc>
          <w:p>
            <w:pPr>
              <w:pStyle w:val="4"/>
            </w:pPr>
          </w:p>
        </w:tc>
        <w:tc>
          <w:tcPr>
            <w:gridSpan w:val="4"/>
          </w:tcPr>
          <w:p>
            <w:pPr>
              <w:pStyle w:val="4"/>
            </w:pPr>
          </w:p>
        </w:tc>
        <w:tc>
          <w:tcPr>
            <w:gridSpan w:val="10"/>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10"/>
          <w:trHeight w:val="400" w:hRule="atLeast"/>
        </w:trPr>
        <w:tc>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8" w:name="JR_PAGE_ANCHOR_0_9"/>
            <w:bookmarkEnd w:id="8"/>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3"/>
          </w:tcPr>
          <w:p>
            <w:pPr>
              <w:pStyle w:val="4"/>
            </w:pPr>
          </w:p>
        </w:tc>
        <w:tc>
          <w:tcPr>
            <w:gridSpan w:val="4"/>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4"/>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 2023年第二季度报告</w:t>
            </w:r>
          </w:p>
        </w:tc>
        <w:tc>
          <w:tcPr>
            <w:gridSpan w:val="4"/>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3"/>
          </w:tcPr>
          <w:p>
            <w:pPr>
              <w:pStyle w:val="4"/>
            </w:pPr>
          </w:p>
        </w:tc>
        <w:tc>
          <w:tcPr>
            <w:gridSpan w:val="4"/>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4"/>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4"/>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兴银理财日日新2号净值型理财产品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137.67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兴银理财日日新2号净值型理财产品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兴银理财日日新2号净值型理财产品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快赎垫资服务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兴业银行活期存款（北京）</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3"/>
          </w:tcPr>
          <w:p>
            <w:pPr>
              <w:pStyle w:val="4"/>
            </w:pPr>
          </w:p>
        </w:tc>
        <w:tc>
          <w:tcPr>
            <w:gridSpan w:val="4"/>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0"/>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4"/>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4"/>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3"/>
          </w:tcPr>
          <w:p>
            <w:pPr>
              <w:pStyle w:val="4"/>
            </w:pPr>
          </w:p>
        </w:tc>
        <w:tc>
          <w:tcPr>
            <w:gridSpan w:val="4"/>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gridSpan w:val="6"/>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051010100101214830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兴银理财日日新2号净值型理财产品</w:t>
                        </w:r>
                      </w:p>
                    </w:tc>
                  </w:tr>
                </w:tbl>
                <w:p>
                  <w:pPr>
                    <w:pStyle w:val="4"/>
                  </w:pPr>
                </w:p>
              </w:tc>
            </w:tr>
          </w:tbl>
          <w:p>
            <w:pPr>
              <w:pStyle w:val="4"/>
            </w:pPr>
          </w:p>
        </w:tc>
        <w:tc>
          <w:tcPr>
            <w:gridSpan w:val="6"/>
          </w:tcPr>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3"/>
          </w:tcPr>
          <w:p>
            <w:pPr>
              <w:pStyle w:val="4"/>
            </w:pPr>
          </w:p>
        </w:tc>
        <w:tc>
          <w:tcPr>
            <w:gridSpan w:val="4"/>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4"/>
            <w:tcMar>
              <w:top w:w="0" w:type="dxa"/>
              <w:left w:w="0" w:type="dxa"/>
              <w:bottom w:w="0" w:type="dxa"/>
              <w:right w:w="0" w:type="dxa"/>
            </w:tcMar>
            <w:vAlign w:val="center"/>
          </w:tcPr>
          <w:p>
            <w:pPr>
              <w:jc w:val="left"/>
            </w:pPr>
            <w:r>
              <w:rPr>
                <w:rFonts w:ascii="宋体" w:hAnsi="宋体" w:eastAsia="宋体" w:cs="宋体"/>
                <w:b/>
                <w:color w:val="000000"/>
                <w:sz w:val="21"/>
              </w:rPr>
              <w:t>7.影响理财份额投资人决策的其他重要信息</w:t>
            </w: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4"/>
            <w:tcMar>
              <w:top w:w="0" w:type="dxa"/>
              <w:left w:w="0" w:type="dxa"/>
              <w:bottom w:w="0" w:type="dxa"/>
              <w:right w:w="0" w:type="dxa"/>
            </w:tcMar>
            <w:vAlign w:val="center"/>
          </w:tcPr>
          <w:p>
            <w:pPr>
              <w:jc w:val="left"/>
            </w:pPr>
            <w:r>
              <w:rPr>
                <w:rFonts w:ascii="宋体" w:hAnsi="宋体" w:eastAsia="宋体" w:cs="宋体"/>
                <w:color w:val="000000"/>
                <w:sz w:val="20"/>
              </w:rPr>
              <w:t xml:space="preserve"> 7.1报告期内单一投资者持有产品份额达到或者超过该产品总份额20%的情形</w:t>
            </w: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4"/>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blPrEx>
                <w:tblCellMar>
                  <w:top w:w="0" w:type="dxa"/>
                  <w:left w:w="10" w:type="dxa"/>
                  <w:bottom w:w="0" w:type="dxa"/>
                  <w:right w:w="10" w:type="dxa"/>
                </w:tblCellMar>
              </w:tblPrEx>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3"/>
          </w:tcPr>
          <w:p>
            <w:pPr>
              <w:pStyle w:val="4"/>
            </w:pPr>
          </w:p>
        </w:tc>
        <w:tc>
          <w:tcPr>
            <w:gridSpan w:val="4"/>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4"/>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4"/>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trHeight w:val="4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3"/>
          </w:tcPr>
          <w:p>
            <w:pPr>
              <w:pStyle w:val="4"/>
            </w:pPr>
          </w:p>
        </w:tc>
        <w:tc>
          <w:tcPr>
            <w:gridSpan w:val="4"/>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9/</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9</w:t>
            </w:r>
          </w:p>
        </w:tc>
        <w:tc>
          <w:tcPr>
            <w:gridSpan w:val="3"/>
          </w:tcPr>
          <w:p>
            <w:pPr>
              <w:pStyle w:val="4"/>
            </w:pPr>
          </w:p>
        </w:tc>
        <w:tc>
          <w:tcPr>
            <w:gridSpan w:val="4"/>
          </w:tcPr>
          <w:p>
            <w:pPr>
              <w:pStyle w:val="4"/>
            </w:pPr>
          </w:p>
        </w:tc>
        <w:tc>
          <w:tcPr>
            <w:gridSpan w:val="6"/>
          </w:tcPr>
          <w:p>
            <w:pPr>
              <w:pStyle w:val="4"/>
            </w:pPr>
          </w:p>
        </w:tc>
        <w:tc>
          <w:p>
            <w:pPr>
              <w:pStyle w:val="4"/>
            </w:pPr>
          </w:p>
        </w:tc>
      </w:tr>
      <w:bookmarkEnd w:id="9"/>
    </w:tbl>
    <w:p/>
    <w:sectPr>
      <w:pgSz w:w="11900" w:h="16840"/>
      <w:pgMar w:top="600" w:right="3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800"/>
  <w:compat>
    <w:useFELayout/>
    <w:splitPgBreakAndParaMark/>
    <w:compatSetting w:name="compatibilityMode" w:uri="http://schemas.microsoft.com/office/word" w:val="12"/>
  </w:compat>
  <w:rsids>
    <w:rsidRoot w:val="00000000"/>
    <w:rsid w:val="7A0303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TD"/>
    <w:qFormat/>
    <w:uiPriority w:val="0"/>
    <w:pPr>
      <w:spacing w:line="240" w:lineRule="auto"/>
    </w:pPr>
    <w:rPr>
      <w:rFonts w:ascii="SansSerif" w:hAnsi="SansSerif" w:eastAsia="SansSerif" w:cs="SansSerif"/>
      <w:color w:val="000000"/>
      <w:sz w:val="20"/>
      <w:szCs w:val="22"/>
    </w:rPr>
  </w:style>
  <w:style w:type="paragraph" w:customStyle="1" w:styleId="7">
    <w:name w:val="Table_CH"/>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2023-07-20T02:27:24Z</dcterms:created>
  <dc:creator>cib</dc:creator>
  <cp:lastModifiedBy>成都作业单系统专用</cp:lastModifiedBy>
  <dcterms:modified xsi:type="dcterms:W3CDTF">2023-07-20T02:29:43Z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