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tiff" ContentType="image/tif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
<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w:body>
    <w:tbl>
      <w:tblPr>
        <w:tblLayout w:type="fixed"/>
      </w:tblPr>
      <w:tblGrid>
        <w:gridCol w:w="1"/>
        <w:gridCol w:w="3020"/>
        <w:gridCol w:w="380"/>
        <w:gridCol w:w="2000"/>
        <w:gridCol w:w="2000"/>
        <w:gridCol w:w="2620"/>
        <w:gridCol w:w="680"/>
        <w:gridCol w:w="1"/>
      </w:tblGrid>
      <w:tr>
        <w:trPr>
          <w:trHeight w:hRule="exact" w:val="0"/>
        </w:trPr>
        <w:tc>
          <w:tcPr>
     </w:tcPr>
          <w:p>
            <w:pPr>
              <w:pStyle w:val="EMPTY_CELL_STYLE"/>
            </w:pPr>
            <w:bookmarkStart w:id="0" w:name="JR_PAGE_ANCHOR_0_1"/>
            <w:bookmarkEnd w:id="0"/>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兴银理财金雪球稳利年年兴B款净值型理财产品2023年第二季度报告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20"/>
        </w:trPr>
        <w:tc>
          <w:tcPr>
     </w:tcPr>
          <w:p>
            <w:pPr>
              <w:pStyle w:val="EMPTY_CELL_STYLE"/>
            </w:pPr>
          </w:p>
        </w:tc>
        <w:tc>
          <w:tcPr>
            <w:gridSpan w:val="6"/>
            <w:tcMar>
              <w:top w:w="0" w:type="dxa"/>
              <w:left w:w="0" w:type="dxa"/>
              <w:bottom w:w="0" w:type="dxa"/>
              <w:right w:w="0" w:type="dxa"/>
            </w:tcMar>
            <w:vAlign w:val="center"/>
          </w:tcPr>
          <w:p>
            <w:pPr>
              <w:ind/>
              <w:jc w:val="center"/>
              <w:spacing w:lineRule="auto" w:line="360" w:after="0" w:before="0"/>
            </w:pPr>
            <w:r>
              <w:rPr>
                <w:rFonts w:ascii="宋体" w:hAnsi="宋体" w:eastAsia="宋体" w:cs="宋体"/>
                <w:color w:val="000000"/>
                <w:sz w:val="32"/>
                <w:b w:val="true"/>
              </w:rPr>
              <w:t xml:space="preserve">兴银理财金雪球稳利年年兴B款净值型理财产品</w:t>
              <w:br/>
              <w:t xml:space="preserve">2023年第二季度报告</w:t>
            </w:r>
          </w:p>
        </w:tc>
        <w:tc>
          <w:tcPr>
     </w:tcPr>
          <w:p>
            <w:pPr>
              <w:pStyle w:val="EMPTY_CELL_STYLE"/>
            </w:pPr>
          </w:p>
        </w:tc>
      </w:tr>
      <w:tr>
        <w:trPr>
          <w:trHeight w:hRule="exact" w:val="6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理财产品管理人：兴银理财有限责任公司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理财产品托管人：兴业银行股份有限公司</w:t>
            </w:r>
          </w:p>
        </w:tc>
        <w:tc>
          <w:tcPr>
     </w:tcPr>
          <w:p>
            <w:pPr>
              <w:pStyle w:val="EMPTY_CELL_STYLE"/>
            </w:pPr>
          </w:p>
        </w:tc>
        <w:tc>
          <w:tcPr>
     </w:tcPr>
          <w:p>
            <w:pPr>
              <w:pStyle w:val="EMPTY_CELL_STYLE"/>
            </w:pPr>
          </w:p>
        </w:tc>
      </w:tr>
      <w:tr>
        <w:trPr>
          <w:trHeight w:hRule="atLeast" w:val="500"/>
        </w:trPr>
        <w:tc>
          <w:tcPr>
     </w:tcPr>
          <w:p>
            <w:pPr>
              <w:pStyle w:val="EMPTY_CELL_STYLE"/>
            </w:pPr>
          </w:p>
        </w:tc>
        <w:tc>
          <w:tcPr>
     </w:tcPr>
          <w:p>
            <w:pPr>
              <w:pStyle w:val="EMPTY_CELL_STYLE"/>
            </w:pPr>
          </w:p>
        </w:tc>
        <w:tc>
          <w:tcPr>
            <w:gridSpan w:val="4"/>
            <w:tcMar>
              <w:top w:w="0" w:type="dxa"/>
              <w:left w:w="0" w:type="dxa"/>
              <w:bottom w:w="0" w:type="dxa"/>
              <w:right w:w="0" w:type="dxa"/>
            </w:tcMar>
            <w:vAlign w:val="center"/>
          </w:tcPr>
          <w:p>
            <w:pPr>
              <w:ind/>
              <w:jc w:val="left"/>
            </w:pPr>
            <w:r>
              <w:rPr>
                <w:rFonts w:ascii="宋体" w:hAnsi="宋体" w:eastAsia="宋体" w:cs="宋体"/>
                <w:color w:val="000000"/>
                <w:sz w:val="24"/>
              </w:rPr>
              <w:t xml:space="preserve">报告送出日期：2023年7月21日</w:t>
            </w:r>
          </w:p>
        </w:tc>
        <w:tc>
          <w:tcPr>
     </w:tcPr>
          <w:p>
            <w:pPr>
              <w:pStyle w:val="EMPTY_CELL_STYLE"/>
            </w:pPr>
          </w:p>
        </w:tc>
        <w:tc>
          <w:tcPr>
     </w:tcPr>
          <w:p>
            <w:pPr>
              <w:pStyle w:val="EMPTY_CELL_STYLE"/>
            </w:pPr>
          </w:p>
        </w:tc>
      </w:tr>
      <w:tr>
        <w:trPr>
          <w:trHeight w:hRule="exact" w:val="2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1/</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100"/>
        <w:gridCol w:w="3300"/>
        <w:gridCol w:w="1000"/>
        <w:gridCol w:w="1000"/>
        <w:gridCol w:w="1000"/>
        <w:gridCol w:w="1000"/>
        <w:gridCol w:w="3100"/>
        <w:gridCol w:w="200"/>
        <w:gridCol w:w="1"/>
      </w:tblGrid>
      <w:tr>
        <w:trPr>
          <w:trHeight w:hRule="exact" w:val="0"/>
        </w:trPr>
        <w:tc>
          <w:tcPr>
     </w:tcPr>
          <w:p>
            <w:pPr>
              <w:pStyle w:val="EMPTY_CELL_STYLE"/>
              <w:pageBreakBefore/>
            </w:pPr>
            <w:bookmarkStart w:id="1" w:name="JR_PAGE_ANCHOR_0_2"/>
            <w:bookmarkEnd w:id="1"/>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兴银理财金雪球稳利年年兴B款净值型理财产品2023年第二季度报告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center"/>
            </w:pPr>
            <w:r>
              <w:rPr>
                <w:rFonts w:ascii="宋体" w:hAnsi="宋体" w:eastAsia="宋体" w:cs="宋体"/>
                <w:color w:val="000000"/>
                <w:sz w:val="30"/>
                <w:b w:val="true"/>
              </w:rPr>
              <w:t xml:space="preserve">目  录</w:t>
            </w: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4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840"/>
        </w:trPr>
        <w:tc>
          <w:tcPr>
     </w:tcPr>
          <w:p>
            <w:pPr>
              <w:pStyle w:val="EMPTY_CELL_STYLE"/>
            </w:pPr>
          </w:p>
        </w:tc>
        <w:tc>
          <w:tcPr>
     </w:tcPr>
          <w:p>
            <w:pPr>
              <w:pStyle w:val="EMPTY_CELL_STYLE"/>
            </w:pPr>
          </w:p>
        </w:tc>
        <w:tc>
          <w:tcPr>
            <w:gridSpan w:val="6"/>
            <w:tcMar>
              <w:top w:w="0" w:type="dxa"/>
              <w:left w:w="0" w:type="dxa"/>
              <w:bottom w:w="0" w:type="dxa"/>
              <w:right w:w="0" w:type="dxa"/>
            </w:tcMar>
            <w:vAlign w:val="top"/>
          </w:tcPr>
          <w:p>
            <w:pPr>
              <w:ind/>
              <w:jc w:val="left"/>
              <w:spacing w:lineRule="auto" w:line="336" w:after="0" w:before="0"/>
            </w:pPr>
            <w:r>
              <w:rPr>
                <w:rFonts w:ascii="宋体" w:hAnsi="宋体" w:eastAsia="宋体" w:cs="宋体"/>
                <w:color w:val="000000"/>
                <w:sz w:val="21"/>
              </w:rPr>
              <w:t xml:space="preserve">§ 一. 重要提示</w:t>
              <w:br/>
              <w:t xml:space="preserve">§ 二. 产品基本信息</w:t>
              <w:br/>
              <w:t xml:space="preserve">§ 三. 产品收益表现</w:t>
              <w:br/>
              <w:t xml:space="preserve">§ 四. 产品投资经理简介</w:t>
              <w:br/>
              <w:t xml:space="preserve">§ 五. 报告期内产品投资策略</w:t>
              <w:br/>
              <w:t xml:space="preserve">§ 六. 投资组合情况</w:t>
              <w:br/>
              <w:t xml:space="preserve">     1. 报告期末资产组合情况</w:t>
              <w:br/>
              <w:t xml:space="preserve">     2. 报告期末杠杆融资情况</w:t>
              <w:br/>
              <w:t xml:space="preserve">     3. 投资组合的流动性风险分析</w:t>
              <w:br/>
              <w:t xml:space="preserve">     4. 报告期末资产持仓前十基本信息</w:t>
              <w:br/>
              <w:t xml:space="preserve">     5. 报告期间关联交易情况</w:t>
              <w:br/>
              <w:t xml:space="preserve">     6. 投资账户信息</w:t>
            </w:r>
          </w:p>
        </w:tc>
        <w:tc>
          <w:tcPr>
     </w:tcPr>
          <w:p>
            <w:pPr>
              <w:pStyle w:val="EMPTY_CELL_STYLE"/>
            </w:pPr>
          </w:p>
        </w:tc>
        <w:tc>
          <w:tcPr>
     </w:tcPr>
          <w:p>
            <w:pPr>
              <w:pStyle w:val="EMPTY_CELL_STYLE"/>
            </w:pPr>
          </w:p>
        </w:tc>
      </w:tr>
      <w:tr>
        <w:trPr>
          <w:trHeight w:hRule="exact" w:val="6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2/</w:t>
            </w:r>
          </w:p>
        </w:tc>
        <w:tc>
          <w:tcPr>
            <w:gridSpan w:val="2"/>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3400"/>
        <w:gridCol w:w="740"/>
        <w:gridCol w:w="1260"/>
        <w:gridCol w:w="2000"/>
        <w:gridCol w:w="2800"/>
        <w:gridCol w:w="500"/>
        <w:gridCol w:w="1"/>
      </w:tblGrid>
      <w:tr>
        <w:trPr>
          <w:trHeight w:hRule="exact" w:val="0"/>
        </w:trPr>
        <w:tc>
          <w:tcPr>
     </w:tcPr>
          <w:p>
            <w:pPr>
              <w:pStyle w:val="EMPTY_CELL_STYLE"/>
              <w:pageBreakBefore/>
            </w:pPr>
            <w:bookmarkStart w:id="2" w:name="JR_PAGE_ANCHOR_0_3"/>
            <w:bookmarkEnd w:id="2"/>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6"/>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兴银理财金雪球稳利年年兴B款净值型理财产品2023年第二季度报告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6"/>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一. 重要提示</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3080"/>
        </w:trPr>
        <w:tc>
          <w:tcPr>
     </w:tcPr>
          <w:p>
            <w:pPr>
              <w:pStyle w:val="EMPTY_CELL_STYLE"/>
            </w:pPr>
          </w:p>
        </w:tc>
        <w:tc>
          <w:tcPr>
            <w:gridSpan w:val="6"/>
            <w:tcBorders>
              <w:top w:val="dotted" w:sz="8" w:space="0" w:color="000000"/>
              <w:left w:val="dotted" w:sz="8" w:space="0" w:color="000000"/>
              <w:bottom w:val="dotted" w:sz="8" w:space="0" w:color="000000"/>
              <w:right w:val="dotted" w:sz="8" w:space="0" w:color="000000"/>
            </w:tcBorders>
            <w:tcMar>
              <w:top w:w="0" w:type="dxa"/>
              <w:left w:w="0" w:type="dxa"/>
              <w:bottom w:w="0" w:type="dxa"/>
              <w:right w:w="0" w:type="dxa"/>
            </w:tcMar>
            <w:vAlign w:val="top"/>
          </w:tcPr>
          <w:p>
            <w:pPr>
              <w:ind/>
              <w:jc w:val="left"/>
              <w:spacing w:lineRule="auto" w:line="360" w:after="0" w:before="0"/>
            </w:pPr>
            <w:r>
              <w:rPr>
                <w:rFonts w:ascii="仿宋" w:hAnsi="仿宋" w:eastAsia="仿宋" w:cs="仿宋"/>
                <w:color w:val="000000"/>
                <w:sz w:val="21"/>
              </w:rPr>
              <w:br/>
              <w:t xml:space="preserve"> 1. 温馨提醒：理财非存款，产品有风险，投资需谨慎！</w:t>
              <w:br/>
              <w:t xml:space="preserve"> 2. 理财信息可供参考，详情请咨询理财经理，或在“中国理财网（www.chinawealth.com.cn）”查询该产品相关信息。</w:t>
              <w:br/>
              <w:t xml:space="preserve"> 3. 兴银理财有限责任公司保留对所有文字说明的最终解释权。</w:t>
              <w:br/>
              <w:t xml:space="preserve"> 4. 投资组合情况（期末资产组合情况、杠杆比例、资产前十持仓等）详情请理财持有人登录网银后进行查询。</w:t>
              <w:br/>
            </w:r>
          </w:p>
        </w:tc>
        <w:tc>
          <w:tcPr>
     </w:tcPr>
          <w:p>
            <w:pPr>
              <w:pStyle w:val="EMPTY_CELL_STYLE"/>
            </w:pPr>
          </w:p>
        </w:tc>
      </w:tr>
      <w:tr>
        <w:trPr>
          <w:trHeight w:hRule="exact" w:val="6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二. 产品基本情况</w:t>
            </w: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产品名称</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兴银理财金雪球稳利年年兴B款净值型理财产品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产品代码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9C212120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全国银行业理财信息登记系统登记编码</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Z7002021000153</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产品运作方式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开放式</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产品募集方式</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公募</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投资类型</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固定收益类</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报告期末产品份额总额</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1,187,905,837.79份</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业绩比较基准/业绩报酬计提基准</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jc w:val="left"/>
            </w:pPr>
            <w:r>
              <w:rPr>
                <w:rFonts w:ascii="宋体" w:hAnsi="宋体" w:eastAsia="宋体" w:cs="宋体"/>
                <w:color w:val="000000"/>
                <w:sz w:val="21"/>
              </w:rPr>
              <w:t xml:space="preserve">3.30%--3.80%/3.80%</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投资币种</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人民币</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风险等级</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R2</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产品管理人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pPr>
            <w:r>
              <w:rPr>
                <w:rFonts w:ascii="宋体" w:hAnsi="宋体" w:eastAsia="宋体" w:cs="宋体"/>
                <w:color w:val="000000"/>
                <w:sz w:val="21"/>
              </w:rPr>
              <w:t xml:space="preserve">兴银理财有限责任公司</w:t>
            </w:r>
          </w:p>
        </w:tc>
        <w:tc>
          <w:tcPr>
     </w:tcPr>
          <w:p>
            <w:pPr>
              <w:pStyle w:val="EMPTY_CELL_STYLE"/>
            </w:pPr>
          </w:p>
        </w:tc>
      </w:tr>
      <w:tr>
        <w:trPr>
          <w:trHeight w:hRule="atLeast" w:val="500"/>
        </w:trPr>
        <w:tc>
          <w:tcPr>
     </w:tcPr>
          <w:p>
            <w:pPr>
              <w:pStyle w:val="EMPTY_CELL_STYLE"/>
            </w:pPr>
          </w:p>
        </w:tc>
        <w:tc>
          <w:tcPr>
            <w:gridSpan w:val="2"/>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pPr>
            <w:r>
              <w:rPr>
                <w:rFonts w:ascii="宋体" w:hAnsi="宋体" w:eastAsia="宋体" w:cs="宋体"/>
                <w:color w:val="000000"/>
                <w:sz w:val="21"/>
              </w:rPr>
              <w:t xml:space="preserve">产品托管人</w:t>
            </w:r>
          </w:p>
        </w:tc>
        <w:tc>
          <w:tcPr>
            <w:gridSpan w:val="4"/>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vAlign w:val="center"/>
          </w:tcPr>
          <w:p>
            <w:pPr>
              <w:ind w:firstLine="200"/>
              <w:spacing w:lineRule="auto" w:line="240" w:after="0" w:before="0"/>
            </w:pPr>
            <w:r>
              <w:rPr>
                <w:rFonts w:ascii="宋体" w:hAnsi="宋体" w:eastAsia="宋体" w:cs="宋体"/>
                <w:color w:val="000000"/>
                <w:sz w:val="21"/>
              </w:rPr>
              <w:t xml:space="preserve">兴业银行股份有限公司</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6"/>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三. 产品收益表现</w:t>
            </w: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firstLine="0"/>
              <w:jc w:val="left"/>
              <w:spacing w:lineRule="exact" w:line="320" w:after="0" w:before="0"/>
            </w:pPr>
            <w:r>
              <w:rPr>
                <w:rFonts w:ascii="宋体" w:hAnsi="宋体" w:eastAsia="宋体" w:cs="宋体"/>
                <w:color w:val="000000"/>
                <w:sz w:val="21"/>
              </w:rPr>
              <w:t xml:space="preserve">产品9C212120自成立日以来，累计净值增长率为6.9760%，年化累计净值增长率为4.1135%。</w:t>
              <w:br/>
              <w:t xml:space="preserve">报告期末，产品净值表现具体如下：</w:t>
            </w:r>
          </w:p>
        </w:tc>
        <w:tc>
          <w:tcPr>
     </w:tcPr>
          <w:p>
            <w:pPr>
              <w:pStyle w:val="EMPTY_CELL_STYLE"/>
            </w:pPr>
          </w:p>
        </w:tc>
        <w:tc>
          <w:tcPr>
     </w:tcPr>
          <w:p>
            <w:pPr>
              <w:pStyle w:val="EMPTY_CELL_STYLE"/>
            </w:pPr>
          </w:p>
        </w:tc>
      </w:tr>
      <w:tr>
        <w:trPr>
          <w:trHeight w:hRule="exact" w:val="9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3/</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600"/>
        <w:gridCol w:w="800"/>
        <w:gridCol w:w="1700"/>
        <w:gridCol w:w="300"/>
        <w:gridCol w:w="2000"/>
        <w:gridCol w:w="400"/>
        <w:gridCol w:w="2800"/>
        <w:gridCol w:w="100"/>
        <w:gridCol w:w="1"/>
      </w:tblGrid>
      <w:tr>
        <w:trPr>
          <w:trHeight w:hRule="exact" w:val="0"/>
        </w:trPr>
        <w:tc>
          <w:tcPr>
     </w:tcPr>
          <w:p>
            <w:pPr>
              <w:pStyle w:val="EMPTY_CELL_STYLE"/>
              <w:pageBreakBefore/>
            </w:pPr>
            <w:bookmarkStart w:id="3" w:name="JR_PAGE_ANCHOR_0_4"/>
            <w:bookmarkEnd w:id="3"/>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8"/>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兴银理财金雪球稳利年年兴B款净值型理财产品2023年第二季度报告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8"/>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估值日期</w:t>
            </w:r>
          </w:p>
        </w:tc>
        <w:tc>
          <w:tcPr>
            <w:gridSpan w:val="2"/>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产品份额净值</w:t>
            </w:r>
          </w:p>
        </w:tc>
        <w:tc>
          <w:tcPr>
            <w:gridSpan w:val="3"/>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产品累计净值 </w:t>
            </w:r>
          </w:p>
        </w:tc>
        <w:tc>
          <w:tcPr>
            <w:shd w:val="clear" w:color="auto" w:fill="BFBFBF"/>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产品资产净值</w:t>
            </w:r>
          </w:p>
        </w:tc>
        <w:tc>
          <w:tcPr>
     </w:tcPr>
          <w:p>
            <w:pPr>
              <w:pStyle w:val="EMPTY_CELL_STYLE"/>
            </w:pPr>
          </w:p>
        </w:tc>
        <w:tc>
          <w:tcPr>
     </w:tcPr>
          <w:p>
            <w:pPr>
              <w:pStyle w:val="EMPTY_CELL_STYLE"/>
            </w:pPr>
          </w:p>
        </w:tc>
      </w:tr>
      <w:tr>
        <w:trPr>
          <w:trHeight w:hRule="atLeast" w:val="600"/>
        </w:trPr>
        <w:tc>
          <w:tcPr>
     </w:tcPr>
          <w:p>
            <w:pPr>
              <w:pStyle w:val="EMPTY_CELL_STYLE"/>
            </w:pP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2023年6月30日</w:t>
            </w:r>
          </w:p>
        </w:tc>
        <w:tc>
          <w:tcPr>
            <w:gridSpan w:val="2"/>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1.06976</w:t>
            </w:r>
          </w:p>
        </w:tc>
        <w:tc>
          <w:tcPr>
            <w:gridSpan w:val="3"/>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1.06976</w:t>
            </w:r>
          </w:p>
        </w:tc>
        <w:tc>
          <w:tcPr>
            <w:tcBorders>
              <w:top w:val="single" w:sz="8" w:space="0" w:color="080101"/>
              <w:left w:val="single" w:sz="8" w:space="0" w:color="080101"/>
              <w:bottom w:val="single" w:sz="8" w:space="0" w:color="080101"/>
              <w:right w:val="single" w:sz="8" w:space="0" w:color="080101"/>
            </w:tcBorders>
            <w:tcMar>
              <w:top w:w="0" w:type="dxa"/>
              <w:left w:w="0" w:type="dxa"/>
              <w:bottom w:w="0" w:type="dxa"/>
              <w:right w:w="0" w:type="dxa"/>
            </w:tcMar>
            <w:vAlign w:val="center"/>
          </w:tcPr>
          <w:p>
            <w:pPr>
              <w:ind/>
              <w:jc w:val="center"/>
            </w:pPr>
            <w:r>
              <w:rPr>
                <w:rFonts w:ascii="宋体" w:hAnsi="宋体" w:eastAsia="宋体" w:cs="宋体"/>
                <w:color w:val="000000"/>
                <w:sz w:val="21"/>
              </w:rPr>
              <w:t xml:space="preserve">1,270,776,417.57</w:t>
            </w:r>
          </w:p>
        </w:tc>
        <w:tc>
          <w:tcPr>
     </w:tcPr>
          <w:p>
            <w:pPr>
              <w:pStyle w:val="EMPTY_CELL_STYLE"/>
            </w:pPr>
          </w:p>
        </w:tc>
        <w:tc>
          <w:tcPr>
     </w:tcPr>
          <w:p>
            <w:pPr>
              <w:pStyle w:val="EMPTY_CELL_STYLE"/>
            </w:pPr>
          </w:p>
        </w:tc>
      </w:tr>
      <w:tr>
        <w:trPr>
          <w:trHeight w:hRule="exact" w:val="4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四. 产品投资经理简介</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0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罗俊鹏先生，现任兴银理财专户投资部投资经理，上海交通大学硕士，具有5年固定收益投资经验，历任兴银理财固定收益部投资助理、投资经理，负责多款上市企业专户产品及公募产品管理，管理规模超过550亿，产品业绩优异，擅长利率债交易及信用债套利挖掘，投资风格灵活，专注于多策略获取组合超额回报。</w:t>
            </w:r>
          </w:p>
        </w:tc>
        <w:tc>
          <w:tcPr>
     </w:tcPr>
          <w:p>
            <w:pPr>
              <w:pStyle w:val="EMPTY_CELL_STYLE"/>
            </w:pPr>
          </w:p>
        </w:tc>
      </w:tr>
      <w:tr>
        <w:trPr>
          <w:trHeight w:hRule="exact" w:val="7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8"/>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五. 报告期内产品的投资策略和运作分析</w:t>
            </w:r>
          </w:p>
        </w:tc>
        <w:tc>
          <w:tcPr>
     </w:tcPr>
          <w:p>
            <w:pPr>
              <w:pStyle w:val="EMPTY_CELL_STYLE"/>
            </w:pPr>
          </w:p>
        </w:tc>
      </w:tr>
      <w:tr>
        <w:trPr>
          <w:trHeight w:hRule="exact" w:val="4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9260"/>
        </w:trPr>
        <w:tc>
          <w:tcPr>
     </w:tcPr>
          <w:p>
            <w:pPr>
              <w:pStyle w:val="EMPTY_CELL_STYLE"/>
            </w:pPr>
          </w:p>
        </w:tc>
        <w:tc>
          <w:tcPr>
            <w:gridSpan w:val="8"/>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一、2023年二季度市场回顾与产品投资策略</w:t>
              <w:br/>
              <w:t xml:space="preserve">    1、市场回顾</w:t>
              <w:br/>
              <w:t xml:space="preserve">    二季度经济增长动能显著减弱，内生增长动能趋缓，企业处于主动去库存周期，居民消费意愿受到收入预期制约，地产在释放积压需求后迅速走弱，出口超预期下行，PMI再回荣枯线以下。债市逐渐对二季度的基本面进行重新定价，一季度的强复苏预期被证伪，收益率出现趋势性下行。</w:t>
              <w:br/>
              <w:t xml:space="preserve">    同时，二季度货币政策边际宽松迹象明显，资金价格较一季度环比大幅下降，同时央行于6月下调OMO及MLF利率，重启降息周期。货币政策的边际宽松成为债市走牛的基础，其余稳增长政策定力较强。</w:t>
              <w:br/>
              <w:t xml:space="preserve">    分品种来看，二季度利率债与信用债齐头并进，收益率均出现了比较大幅的下行，其中十年国债由季初的2.86%下行至2.635%，3年期AAA中短期票据收益率由季初的3.07下行至2.78。利率债收益率曲线陡峭化下移，以收益率的维度来看1年期品种在曲线中下行幅度最大。信用债方面收益率同样下行，但中低评级信用债及长久期信用债表现不及利率债，信用利差小幅走阔。</w:t>
              <w:br/>
              <w:t xml:space="preserve">    2、产品运作</w:t>
              <w:br/>
              <w:t xml:space="preserve">    二季度经济复苏节奏放缓，债市继续上演修复行情，二季度呈现“小牛市”行情，增长动能下降的投资主线贯穿始末，货币政策宽松推动收益率持续下行。产品抓住了牛市机会，积极参与市场交易，提升了产品久期和杠杆，在产品增加仓位的同时，进一步通过提升高等级信用债比例，增加信用债基投资等方式提升产品流动性。通过积极操作，产品净值增长较快。</w:t>
              <w:br/>
              <w:t xml:space="preserve">二、2023年三季度展望与投资</w:t>
              <w:br/>
              <w:t xml:space="preserve">    1、2023年三季度展望</w:t>
              <w:br/>
              <w:t xml:space="preserve">    2023年三季度宏观经济预计依然维持偏弱的走势，内外需同时拖累经济，企业盈利压力依然存在。首先，6月PMI继续位于荣枯线下，生产端强于需求端的格局未变，需求疲弱拖累制造业修复，内需虽有反弹，但依然处于低位，外需则进一步下行。其次，从绝对增速角度，工业企业利润下滑势头有所缓解，但盈利仍然受到价格下降和成本费用的制约。再者，在去年“三支箭”等稳地产政策调控背景下，地产供给侧风险得到了初步控制，由于居民的资产负债表在短时间内难以修复，下半年地产反弹空间相对有限。因此三季度依然对债券市场中性乐观。</w:t>
              <w:br/>
              <w:t xml:space="preserve">    2、投资策略</w:t>
              <w:br/>
              <w:t xml:space="preserve">    由于经济复苏斜率趋缓趋势未变，货币政策延续宽松概率较大，整体判断债券收益率依然处于震荡下行的过程，债券投资以中性偏积极策略为主，若遇超预期政策或止盈盘导致市场调整，亦是加仓机会。策略上增配AA+以上中高等级债券、NCD和利率债，提升高流动资产的投资比例。同时继续加大公募基金等投资工具运用，拓展产品投资边界。</w:t>
            </w:r>
          </w:p>
        </w:tc>
        <w:tc>
          <w:tcPr>
     </w:tcPr>
          <w:p>
            <w:pPr>
              <w:pStyle w:val="EMPTY_CELL_STYLE"/>
            </w:pPr>
          </w:p>
        </w:tc>
      </w:tr>
      <w:tr>
        <w:trPr>
          <w:trHeight w:hRule="exact" w:val="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gridSpan w:val="2"/>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4/</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
        <w:gridCol w:w="3380"/>
        <w:gridCol w:w="2000"/>
        <w:gridCol w:w="2000"/>
        <w:gridCol w:w="3300"/>
        <w:gridCol w:w="20"/>
        <w:gridCol w:w="1"/>
      </w:tblGrid>
      <w:tr>
        <w:trPr>
          <w:trHeight w:hRule="exact" w:val="0"/>
        </w:trPr>
        <w:tc>
          <w:tcPr>
     </w:tcPr>
          <w:p>
            <w:pPr>
              <w:pStyle w:val="EMPTY_CELL_STYLE"/>
              <w:pageBreakBefore/>
            </w:pPr>
            <w:bookmarkStart w:id="4" w:name="JR_PAGE_ANCHOR_0_5"/>
            <w:bookmarkEnd w:id="4"/>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兴银理财金雪球稳利年年兴B款净值型理财产品2023年第二季度报告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8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center"/>
            </w:pPr>
            <w:r>
              <w:rPr>
                <w:rFonts w:ascii="宋体" w:hAnsi="宋体" w:eastAsia="宋体" w:cs="宋体"/>
                <w:color w:val="000000"/>
                <w:sz w:val="24"/>
                <w:b w:val="true"/>
              </w:rPr>
              <w:t xml:space="preserve">§ 六. 投资组合情况</w:t>
            </w:r>
          </w:p>
        </w:tc>
        <w:tc>
          <w:tcPr>
     </w:tcPr>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1.报告期末产品资产组合情况</w:t>
            </w:r>
          </w:p>
        </w:tc>
        <w:tc>
          <w:tcPr>
     </w:tcPr>
          <w:p>
            <w:pPr>
              <w:pStyle w:val="EMPTY_CELL_STYLE"/>
            </w:pPr>
          </w:p>
        </w:tc>
      </w:tr>
      <w:tr>
        <w:trPr>
          <w:trHeight w:hRule="exact" w:val="4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30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600"/>
              <w:gridCol w:w="3600"/>
              <w:gridCol w:w="3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直接投资占产品总资产的比例（%）</w:t>
                        </w:r>
                      </w:p>
                    </w:tc>
                  </w:tr>
                </w:tbl>
                <w:p>
                  <w:pPr>
                    <w:pStyle w:val="EMPTY_CELL_STYLE"/>
                  </w:pPr>
                </w:p>
              </w:tc>
              <w:tc>
                <w:tcPr>
                  <w:shd w:val="clear" w:color="auto" w:fill="F0F8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间接投资占产品总资产的比例（%）</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现金及银行存款</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0.78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0.82</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债券</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99.18</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99.18</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委外投资</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0.04</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0.00</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总计</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100.00</w:t>
                        </w:r>
                      </w:p>
                    </w:tc>
                  </w:tr>
                </w:tbl>
                <w:p>
                  <w:pPr>
                    <w:pStyle w:val="EMPTY_CELL_STYLE"/>
                  </w:pPr>
                </w:p>
              </w:tc>
            </w:tr>
          </w:tbl>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2.报告期末杠杆融资情况</w:t>
            </w:r>
          </w:p>
        </w:tc>
        <w:tc>
          <w:tcPr>
     </w:tcPr>
          <w:p>
            <w:pPr>
              <w:pStyle w:val="EMPTY_CELL_STYLE"/>
            </w:pPr>
          </w:p>
        </w:tc>
        <w:tc>
          <w:tcPr>
     </w:tcPr>
          <w:p>
            <w:pPr>
              <w:pStyle w:val="EMPTY_CELL_STYLE"/>
            </w:pPr>
          </w:p>
        </w:tc>
      </w:tr>
      <w:tr>
        <w:trPr>
          <w:trHeight w:hRule="atLeast" w:val="100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报告期末本产品总资产未超过该产品净资产规模的140%，符合产品协议对本产品杠杆比例的要求。</w:t>
            </w: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3.投资组合的流动性风险分析</w:t>
            </w:r>
          </w:p>
        </w:tc>
        <w:tc>
          <w:tcPr>
     </w:tcPr>
          <w:p>
            <w:pPr>
              <w:pStyle w:val="EMPTY_CELL_STYLE"/>
            </w:pPr>
          </w:p>
        </w:tc>
        <w:tc>
          <w:tcPr>
     </w:tcPr>
          <w:p>
            <w:pPr>
              <w:pStyle w:val="EMPTY_CELL_STYLE"/>
            </w:pPr>
          </w:p>
        </w:tc>
      </w:tr>
      <w:tr>
        <w:trPr>
          <w:trHeight w:hRule="atLeast" w:val="2580"/>
        </w:trPr>
        <w:tc>
          <w:tcPr>
     </w:tcPr>
          <w:p>
            <w:pPr>
              <w:pStyle w:val="EMPTY_CELL_STYLE"/>
            </w:pPr>
          </w:p>
        </w:tc>
        <w:tc>
          <w:tcPr>
            <w:gridSpan w:val="5"/>
            <w:tcMar>
              <w:top w:w="0" w:type="dxa"/>
              <w:left w:w="0" w:type="dxa"/>
              <w:bottom w:w="0" w:type="dxa"/>
              <w:right w:w="0" w:type="dxa"/>
            </w:tcMar>
            <w:vAlign w:val="top"/>
          </w:tcPr>
          <w:p>
            <w:pPr>
              <w:ind w:firstLine="0"/>
              <w:jc w:val="left"/>
              <w:spacing w:lineRule="exact" w:line="320" w:after="0" w:before="0"/>
            </w:pPr>
            <w:r>
              <w:rPr>
                <w:rFonts w:ascii="宋体" w:hAnsi="宋体" w:eastAsia="宋体" w:cs="宋体"/>
                <w:color w:val="000000"/>
                <w:sz w:val="21"/>
              </w:rPr>
              <w:t xml:space="preserve">    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br/>
              <w:t xml:space="preserve">    为防范无法支付赎回款而产生的流动性风险，本理财产品管理人将合理安排所投资产期限，持续根据市场变化情况做好投资安排，尽可能降低产品流动性风险，有效保障理财持有人利益。</w:t>
              <w:br/>
              <w:t xml:space="preserve">    报告期内，本理财产品管理人严格遵守相关法律法规以及产品销售协议，对理财产品组合资产的流动性风险进行管理，报告期内未发生流动性风险。</w:t>
              <w:br/>
            </w:r>
          </w:p>
        </w:tc>
        <w:tc>
          <w:tcPr>
     </w:tcPr>
          <w:p>
            <w:pPr>
              <w:pStyle w:val="EMPTY_CELL_STYLE"/>
            </w:pP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4.报告期末资产持仓前十基本信息</w:t>
            </w:r>
          </w:p>
        </w:tc>
        <w:tc>
          <w:tcPr>
     </w:tcPr>
          <w:p>
            <w:pPr>
              <w:pStyle w:val="EMPTY_CELL_STYLE"/>
            </w:pPr>
          </w:p>
        </w:tc>
        <w:tc>
          <w:tcPr>
     </w:tcPr>
          <w:p>
            <w:pPr>
              <w:pStyle w:val="EMPTY_CELL_STYLE"/>
            </w:pPr>
          </w:p>
        </w:tc>
      </w:tr>
      <w:tr>
        <w:trPr>
          <w:trHeight w:hRule="exact" w:val="364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64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资产规模</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100"/>
                    <w:gridCol w:w="3100"/>
                  </w:tblGrid>
                  <w:tr>
                    <w:trPr>
                      <w:trHeight w:hRule="atLeast" w:val="64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占产品资产净值的比例（%）</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22杭州湾新MTN001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50,007,110.66</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3.94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21武汉旅游MTN002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41,655,093.70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3.28</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20财投01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41,088,208.22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3.23</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21衡阳01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40,674,806.58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3.20</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23亳州城建SCP002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40,277,240.44</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3.17</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5/</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tbl>
      <w:tblPr>
        <w:tblLayout w:type="fixed"/>
      </w:tblPr>
      <w:tblGrid>
        <w:gridCol w:w="1"/>
        <w:gridCol w:w="200"/>
        <w:gridCol w:w="3200"/>
        <w:gridCol w:w="2000"/>
        <w:gridCol w:w="2000"/>
        <w:gridCol w:w="3300"/>
        <w:gridCol w:w="1"/>
      </w:tblGrid>
      <w:tr>
        <w:trPr>
          <w:trHeight w:hRule="exact" w:val="0"/>
        </w:trPr>
        <w:tc>
          <w:tcPr>
     </w:tcPr>
          <w:p>
            <w:pPr>
              <w:pStyle w:val="EMPTY_CELL_STYLE"/>
              <w:pageBreakBefore/>
            </w:pPr>
            <w:bookmarkStart w:id="5" w:name="JR_PAGE_ANCHOR_0_6"/>
            <w:bookmarkEnd w:id="5"/>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兴银理财金雪球稳利年年兴B款净值型理财产品2023年第二季度报告</w:t>
            </w: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r>
      <w:tr>
        <w:trPr>
          <w:trHeight w:hRule="exact" w:val="3000"/>
        </w:trPr>
        <w:tc>
          <w:tcPr>
     </w:tcPr>
          <w:p>
            <w:pPr>
              <w:pStyle w:val="EMPTY_CELL_STYLE"/>
            </w:pPr>
          </w:p>
        </w:tc>
        <w:tc>
          <w:tcPr>
            <w:gridSpan w:val="5"/>
            <w:shd w:val="clear" w:color="auto" w:fill="FFFFFF"/>
            <w:tcBorders>
              <w:bottom w:val="single" w:sz="4" w:space="0" w:color="000000"/>
            </w:tcBorders>
            <w:tcMar>
              <w:top w:w="0" w:type="dxa"/>
              <w:left w:w="0" w:type="dxa"/>
              <w:bottom w:w="0" w:type="dxa"/>
              <w:right w:w="0" w:type="dxa"/>
            </w:tcMar>
          </w:tcPr>
          <w:tbl>
            <w:tblPr>
              <w:tblLayout w:type="fixed"/>
            </w:tblPr>
            <w:tblGrid>
              <w:gridCol w:w="1000"/>
              <w:gridCol w:w="4000"/>
              <w:gridCol w:w="2600"/>
              <w:gridCol w:w="3100"/>
            </w:tblGrid>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6</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19柯建01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32,032,460.55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2.52</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7</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21联发集MTN002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31,125,899.18</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8</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19河钢02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31,124,674.52</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2.45</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22盐城交通MTN002</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31,046,637.95</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2.44</w:t>
                        </w:r>
                      </w:p>
                    </w:tc>
                  </w:tr>
                </w:tbl>
                <w:p>
                  <w:pPr>
                    <w:pStyle w:val="EMPTY_CELL_STYLE"/>
                  </w:pPr>
                </w:p>
              </w:tc>
            </w:tr>
            <w:tr>
              <w:trPr>
                <w:trHeight w:hRule="exact" w:val="580"/>
              </w:trPr>
              <w:tc>
                <w:tcPr>
                  <w:tcBorders>
                    <w:top w:val="single" w:sz="8" w:space="0" w:color="000000"/>
                    <w:left w:val="single" w:sz="8" w:space="0" w:color="000000"/>
                    <w:bottom w:val="single" w:sz="8" w:space="0" w:color="000000"/>
                    <w:right w:val="single" w:sz="8" w:space="0" w:color="000000"/>
                  </w:tcBorders>
                  <w:tcMar>
                    <w:top w:w="0" w:type="dxa"/>
                    <w:left w:w="0" w:type="dxa"/>
                    <w:bottom w:w="20" w:type="dxa"/>
                    <w:right w:w="0" w:type="dxa"/>
                  </w:tcMar>
                </w:tcPr>
                <w:tbl>
                  <w:tblPr>
                    <w:tblLayout w:type="fixed"/>
                  </w:tblPr>
                  <w:tblGrid>
                    <w:gridCol w:w="1000"/>
                    <w:gridCol w:w="1000"/>
                  </w:tblGrid>
                  <w:tr>
                    <w:trPr>
                      <w:trHeight w:hRule="atLeast" w:val="58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10</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4000"/>
                    <w:gridCol w:w="4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20河钢01</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600"/>
                    <w:gridCol w:w="2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31,009,166.30</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100"/>
                    <w:gridCol w:w="3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2.44</w:t>
                        </w:r>
                      </w:p>
                    </w:tc>
                  </w:tr>
                </w:tbl>
                <w:p>
                  <w:pPr>
                    <w:pStyle w:val="EMPTY_CELL_STYLE"/>
                  </w:pPr>
                </w:p>
              </w:tc>
            </w:tr>
          </w:tbl>
          <w:p>
            <w:pPr>
              <w:pStyle w:val="EMPTY_CELL_STYLE"/>
            </w:pPr>
          </w:p>
        </w:tc>
        <w:tc>
          <w:tcPr>
     </w:tcPr>
          <w:p>
            <w:pPr>
              <w:pStyle w:val="EMPTY_CELL_STYLE"/>
            </w:pPr>
          </w:p>
        </w:tc>
      </w:tr>
      <w:tr>
        <w:trPr>
          <w:trHeight w:hRule="exact" w:val="1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600"/>
        </w:trPr>
        <w:tc>
          <w:tcPr>
     </w:tcPr>
          <w:p>
            <w:pPr>
              <w:pStyle w:val="EMPTY_CELL_STYLE"/>
            </w:pPr>
          </w:p>
        </w:tc>
        <w:tc>
          <w:tcPr>
            <w:gridSpan w:val="5"/>
            <w:tcMar>
              <w:top w:w="0" w:type="dxa"/>
              <w:left w:w="0" w:type="dxa"/>
              <w:bottom w:w="0" w:type="dxa"/>
              <w:right w:w="0" w:type="dxa"/>
            </w:tcMar>
            <w:vAlign w:val="center"/>
          </w:tcPr>
          <w:p>
            <w:pPr>
              <w:ind/>
            </w:pPr>
            <w:r>
              <w:rPr>
                <w:rFonts w:ascii="宋体" w:hAnsi="宋体" w:eastAsia="宋体" w:cs="宋体"/>
                <w:color w:val="000000"/>
                <w:sz w:val="21"/>
                <w:b w:val="true"/>
              </w:rPr>
              <w:t xml:space="preserve">5.报告期间关联交易情况</w:t>
            </w: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5.1 理财产品在报告期末投资关联方发行、承销的证券的情况</w:t>
            </w:r>
          </w:p>
        </w:tc>
        <w:tc>
          <w:tcPr>
     </w:tcPr>
          <w:p>
            <w:pPr>
              <w:pStyle w:val="EMPTY_CELL_STYLE"/>
            </w:pPr>
          </w:p>
        </w:tc>
      </w:tr>
      <w:tr>
        <w:trPr>
          <w:trHeight w:hRule="exact" w:val="7200"/>
        </w:trPr>
        <w:tc>
          <w:tcPr>
     </w:tcPr>
          <w:p>
            <w:pPr>
              <w:pStyle w:val="EMPTY_CELL_STYLE"/>
            </w:pPr>
          </w:p>
        </w:tc>
        <w:tc>
          <w:tcPr>
            <w:gridSpan w:val="5"/>
            <w:tcMar>
              <w:top w:w="0" w:type="dxa"/>
              <w:left w:w="0" w:type="dxa"/>
              <w:bottom w:w="0" w:type="dxa"/>
              <w:right w:w="0" w:type="dxa"/>
            </w:tcMar>
          </w:tcPr>
          <w:tbl>
            <w:tblPr>
              <w:tblLayout w:type="fixed"/>
            </w:tblPr>
            <w:tblGrid>
              <w:gridCol w:w="3600"/>
              <w:gridCol w:w="3000"/>
              <w:gridCol w:w="41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承销商/发行人</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20新投MTN003</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21常德城投PPN001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22东湖高新MTN001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22华润租赁GN001(碳中和债)</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22江东控股MTN001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22金川MTN001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5,000,000.00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22晋能电力MTN006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22厦门住宅MTN001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九江银行股份有限公司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23三亚旅投MTN001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23云能投CP005</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600"/>
                    <w:gridCol w:w="36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23亳州城建SCP002</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40,000,000.00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100"/>
                    <w:gridCol w:w="41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5.2 理财产品在报告期内其他关联交易</w:t>
            </w:r>
          </w:p>
        </w:tc>
        <w:tc>
          <w:tcPr>
     </w:tcPr>
          <w:p>
            <w:pPr>
              <w:pStyle w:val="EMPTY_CELL_STYLE"/>
            </w:pPr>
          </w:p>
        </w:tc>
      </w:tr>
      <w:tr>
        <w:trPr>
          <w:trHeight w:hRule="exact" w:val="1800"/>
        </w:trPr>
        <w:tc>
          <w:tcPr>
     </w:tcPr>
          <w:p>
            <w:pPr>
              <w:pStyle w:val="EMPTY_CELL_STYLE"/>
            </w:pPr>
          </w:p>
        </w:tc>
        <w:tc>
          <w:tcPr>
            <w:gridSpan w:val="5"/>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交易标的</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交易金额（万元）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兴银理财金雪球稳利年年兴B款净值型理财产品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30.46</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销售服务费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r>
              <w:trPr>
                <w:trHeight w:hRule="exact" w:val="600"/>
              </w:trPr>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兴银理财金雪球稳利年年兴B款净值型理财产品</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9.50</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托管费</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兴业银行股份有限公司</w:t>
                        </w:r>
                      </w:p>
                    </w:tc>
                  </w:tr>
                </w:tbl>
                <w:p>
                  <w:pPr>
                    <w:pStyle w:val="EMPTY_CELL_STYLE"/>
                  </w:pPr>
                </w:p>
              </w:tc>
            </w:tr>
          </w:tbl>
          <w:p>
            <w:pPr>
              <w:pStyle w:val="EMPTY_CELL_STYLE"/>
            </w:pPr>
          </w:p>
        </w:tc>
        <w:tc>
          <w:tcPr>
     </w:tcPr>
          <w:p>
            <w:pPr>
              <w:pStyle w:val="EMPTY_CELL_STYLE"/>
            </w:pPr>
          </w:p>
        </w:tc>
      </w:tr>
      <w:tr>
        <w:trPr>
          <w:trHeight w:hRule="exact" w:val="2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4"/>
            <w:tcMar>
              <w:top w:w="0" w:type="dxa"/>
              <w:left w:w="0" w:type="dxa"/>
              <w:bottom w:w="0" w:type="dxa"/>
              <w:right w:w="0" w:type="dxa"/>
            </w:tcMar>
            <w:vAlign w:val="top"/>
          </w:tcPr>
          <w:p>
            <w:pPr>
              <w:ind/>
            </w:pPr>
            <w:r>
              <w:rPr>
                <w:rFonts w:ascii="宋体" w:hAnsi="宋体" w:eastAsia="宋体" w:cs="宋体"/>
                <w:color w:val="000000"/>
                <w:sz w:val="20"/>
              </w:rPr>
              <w:t xml:space="preserve">5.3 理财产品在报告期内中的重大关联交易</w:t>
            </w:r>
          </w:p>
        </w:tc>
        <w:tc>
          <w:tcPr>
     </w:tcPr>
          <w:p>
            <w:pPr>
              <w:pStyle w:val="EMPTY_CELL_STYLE"/>
            </w:pPr>
          </w:p>
        </w:tc>
      </w:tr>
      <w:tr>
        <w:trPr>
          <w:trHeight w:hRule="exact" w:val="50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6/</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r>
    </w:tbl>
    <w:tbl>
      <w:tblPr>
        <w:tblLayout w:type="fixed"/>
      </w:tblPr>
      <w:tblGrid>
        <w:gridCol w:w="1"/>
        <w:gridCol w:w="40"/>
        <w:gridCol w:w="3360"/>
        <w:gridCol w:w="2000"/>
        <w:gridCol w:w="2000"/>
        <w:gridCol w:w="3300"/>
        <w:gridCol w:w="40"/>
        <w:gridCol w:w="1"/>
      </w:tblGrid>
      <w:tr>
        <w:trPr>
          <w:trHeight w:hRule="exact" w:val="0"/>
        </w:trPr>
        <w:tc>
          <w:tcPr>
     </w:tcPr>
          <w:p>
            <w:pPr>
              <w:pStyle w:val="EMPTY_CELL_STYLE"/>
              <w:pageBreakBefore/>
            </w:pPr>
            <w:bookmarkStart w:id="6" w:name="JR_PAGE_ANCHOR_0_7"/>
            <w:bookmarkEnd w:id="6"/>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bottom"/>
          </w:tcPr>
          <w:p>
            <w:pPr>
              <w:ind/>
              <w:jc w:val="left"/>
              <w:spacing w:lineRule="auto" w:line="192" w:after="0" w:before="0"/>
            </w:pPr>
            <w:r>
              <w:rPr>
                <w:rFonts w:ascii="宋体" w:hAnsi="宋体" w:eastAsia="宋体" w:cs="宋体"/>
                <w:color w:val="808080"/>
                <w:sz w:val="18"/>
              </w:rPr>
              <w:t xml:space="preserve">兴银理财金雪球稳利年年兴B款净值型理财产品2023年第二季度报告</w:t>
            </w:r>
          </w:p>
        </w:tc>
        <w:tc>
          <w:tcPr>
     </w:tcPr>
          <w:p>
            <w:pPr>
              <w:pStyle w:val="EMPTY_CELL_STYLE"/>
            </w:pPr>
          </w:p>
        </w:tc>
        <w:tc>
          <w:tcPr>
     </w:tcPr>
          <w:p>
            <w:pPr>
              <w:pStyle w:val="EMPTY_CELL_STYLE"/>
            </w:pPr>
          </w:p>
        </w:tc>
      </w:tr>
      <w:tr>
        <w:trPr>
          <w:trHeight w:hRule="exact" w:val="2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exact" w:val="20"/>
        </w:trPr>
        <w:tc>
          <w:tcPr>
     </w:tcPr>
          <w:p>
            <w:pPr>
              <w:pStyle w:val="EMPTY_CELL_STYLE"/>
            </w:pPr>
          </w:p>
        </w:tc>
        <w:tc>
          <w:tcPr>
            <w:gridSpan w:val="5"/>
            <w:shd w:val="clear" w:color="auto" w:fill="FFFFFF"/>
            <w:tcBorders>
              <w:top w:val="single" w:sz="8" w:space="0" w:color="000000"/>
            </w:tcBorders>
            <w:tcMar>
              <w:top w:w="0" w:type="dxa"/>
              <w:left w:w="0" w:type="dxa"/>
              <w:bottom w:w="0" w:type="dxa"/>
              <w:right w:w="0" w:type="dxa"/>
            </w:tcMar>
          </w:tcPr>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2800"/>
              <w:gridCol w:w="2200"/>
              <w:gridCol w:w="2200"/>
              <w:gridCol w:w="3500"/>
            </w:tblGrid>
            <w:tr>
              <w:trPr>
                <w:trHeight w:hRule="exact" w:val="600"/>
              </w:trPr>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800"/>
                    <w:gridCol w:w="28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资产名称</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资产面额（元）</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交易类型</w:t>
                        </w:r>
                      </w:p>
                    </w:tc>
                  </w:tr>
                </w:tbl>
                <w:p>
                  <w:pPr>
                    <w:pStyle w:val="EMPTY_CELL_STYLE"/>
                  </w:pPr>
                </w:p>
              </w:tc>
              <w:tc>
                <w:tcPr>
                  <w:shd w:val="clear" w:color="auto" w:fill="BFBFB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500"/>
                    <w:gridCol w:w="3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关联方名称</w:t>
                        </w: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600"/>
        </w:trPr>
        <w:tc>
          <w:tcPr>
     </w:tcPr>
          <w:p>
            <w:pPr>
              <w:pStyle w:val="EMPTY_CELL_STYLE"/>
            </w:pPr>
          </w:p>
        </w:tc>
        <w:tc>
          <w:tcPr>
            <w:gridSpan w:val="5"/>
            <w:tcMar>
              <w:top w:w="0" w:type="dxa"/>
              <w:left w:w="0" w:type="dxa"/>
              <w:bottom w:w="0" w:type="dxa"/>
              <w:right w:w="0" w:type="dxa"/>
            </w:tcMar>
          </w:tcPr>
          <w:tbl>
            <w:tblPr>
              <w:tblLayout w:type="fixed"/>
            </w:tblPr>
            <w:tblGrid>
              <w:gridCol w:w="10700"/>
              <w:gridCol w:w="10700"/>
            </w:tblGrid>
            <w:tr>
              <w:trPr>
                <w:trHeight w:hRule="exact" w:val="600"/>
              </w:trPr>
              <w:tc>
                <w:tcPr>
                  <w:shd w:val="clear" w:color="auto" w:fill="FFFFFF"/>
                  <w:tcBorders>
                    <w:left w:val="single" w:sz="4" w:space="0" w:color="000000"/>
                    <w:bottom w:val="single" w:sz="4" w:space="0" w:color="000000"/>
                    <w:right w:val="single" w:sz="4" w:space="0" w:color="000000"/>
                  </w:tcBorders>
                  <w:tcMar>
                    <w:top w:w="0" w:type="dxa"/>
                    <w:left w:w="20" w:type="dxa"/>
                    <w:bottom w:w="0" w:type="dxa"/>
                    <w:right w:w="0" w:type="dxa"/>
                  </w:tcMar>
                </w:tcPr>
                <w:tbl>
                  <w:tblPr>
                    <w:tblLayout w:type="fixed"/>
                  </w:tblPr>
                  <w:tblGrid>
                    <w:gridCol w:w="10680"/>
                    <w:gridCol w:w="2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无</w:t>
                        </w:r>
                      </w:p>
                    </w:tc>
                    <w:tc>
                      <w:tcPr>
     </w:tcPr>
                      <w:p>
                        <w:pPr>
                          <w:pStyle w:val="EMPTY_CELL_STYLE"/>
                        </w:pPr>
                      </w:p>
                    </w:tc>
                  </w:tr>
                </w:tbl>
                <w:p>
                  <w:pPr>
                    <w:pStyle w:val="EMPTY_CELL_STYLE"/>
                  </w:pPr>
                </w:p>
              </w:tc>
            </w:tr>
          </w:tbl>
          <w:p>
            <w:pPr>
              <w:pStyle w:val="EMPTY_CELL_STYLE"/>
            </w:pPr>
          </w:p>
        </w:tc>
        <w:tc>
          <w:tcPr>
     </w:tcPr>
          <w:p>
            <w:pPr>
              <w:pStyle w:val="EMPTY_CELL_STYLE"/>
            </w:pPr>
          </w:p>
        </w:tc>
        <w:tc>
          <w:tcPr>
     </w:tcPr>
          <w:p>
            <w:pPr>
              <w:pStyle w:val="EMPTY_CELL_STYLE"/>
            </w:pPr>
          </w:p>
        </w:tc>
      </w:tr>
      <w:tr>
        <w:trPr>
          <w:trHeight w:hRule="exact" w:val="1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gridSpan w:val="5"/>
            <w:tcMar>
              <w:top w:w="0" w:type="dxa"/>
              <w:left w:w="0" w:type="dxa"/>
              <w:bottom w:w="0" w:type="dxa"/>
              <w:right w:w="0" w:type="dxa"/>
            </w:tcMar>
            <w:vAlign w:val="center"/>
          </w:tcPr>
          <w:p>
            <w:pPr>
              <w:ind/>
              <w:jc w:val="left"/>
            </w:pPr>
            <w:r>
              <w:rPr>
                <w:rFonts w:ascii="宋体" w:hAnsi="宋体" w:eastAsia="宋体" w:cs="宋体"/>
                <w:color w:val="000000"/>
                <w:sz w:val="21"/>
                <w:b w:val="true"/>
              </w:rPr>
              <w:t xml:space="preserve">6.投资账户信息</w:t>
            </w:r>
          </w:p>
        </w:tc>
        <w:tc>
          <w:tcPr>
     </w:tcPr>
          <w:p>
            <w:pPr>
              <w:pStyle w:val="EMPTY_CELL_STYLE"/>
            </w:pPr>
          </w:p>
        </w:tc>
      </w:tr>
      <w:tr>
        <w:trPr>
          <w:trHeight w:hRule="exact" w:val="1200"/>
        </w:trPr>
        <w:tc>
          <w:tcPr>
     </w:tcPr>
          <w:p>
            <w:pPr>
              <w:pStyle w:val="EMPTY_CELL_STYLE"/>
            </w:pPr>
          </w:p>
        </w:tc>
        <w:tc>
          <w:tcPr>
     </w:tcPr>
          <w:p>
            <w:pPr>
              <w:pStyle w:val="EMPTY_CELL_STYLE"/>
            </w:pPr>
          </w:p>
        </w:tc>
        <w:tc>
          <w:tcPr>
            <w:gridSpan w:val="5"/>
            <w:shd w:val="clear" w:color="auto" w:fill="FFFFFF"/>
            <w:tcMar>
              <w:top w:w="0" w:type="dxa"/>
              <w:left w:w="0" w:type="dxa"/>
              <w:bottom w:w="0" w:type="dxa"/>
              <w:right w:w="0" w:type="dxa"/>
            </w:tcMar>
          </w:tcPr>
          <w:tbl>
            <w:tblPr>
              <w:tblLayout w:type="fixed"/>
            </w:tblPr>
            <w:tblGrid>
              <w:gridCol w:w="1000"/>
              <w:gridCol w:w="2200"/>
              <w:gridCol w:w="3000"/>
              <w:gridCol w:w="4500"/>
            </w:tblGrid>
            <w:tr>
              <w:trPr>
                <w:trHeight w:hRule="exact" w:val="600"/>
              </w:trPr>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序号</w:t>
                        </w:r>
                      </w:p>
                    </w:tc>
                  </w:tr>
                </w:tbl>
                <w:p>
                  <w:pPr>
                    <w:pStyle w:val="EMPTY_CELL_STYLE"/>
                  </w:pPr>
                </w:p>
              </w:tc>
              <w:tc>
                <w:tcPr>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账户类型</w:t>
                        </w:r>
                      </w:p>
                    </w:tc>
                  </w:tr>
                </w:tbl>
                <w:p>
                  <w:pPr>
                    <w:pStyle w:val="EMPTY_CELL_STYLE"/>
                  </w:pPr>
                </w:p>
              </w:tc>
              <w:tc>
                <w:tcPr>
                  <w:shd w:val="clear" w:color="auto" w:fill="FFFFFF"/>
                  <w:tcBorders>
                    <w:top w:val="single" w:sz="8" w:space="0" w:color="000000"/>
                    <w:left w:val="single" w:sz="8" w:space="0" w:color="000000"/>
                    <w:bottom w:val="single" w:sz="8" w:space="0" w:color="000000"/>
                    <w:right w:val="single" w:sz="8"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账户编号</w:t>
                        </w:r>
                      </w:p>
                    </w:tc>
                  </w:tr>
                </w:tbl>
                <w:p>
                  <w:pPr>
                    <w:pStyle w:val="EMPTY_CELL_STYLE"/>
                  </w:pPr>
                </w:p>
              </w:tc>
              <w:tc>
                <w:tcPr>
                  <w:shd w:val="clear" w:color="auto" w:fill="B3B4B5"/>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shd w:val="clear" w:color="auto" w:fill="BFBFBF"/>
                        <w:tcMar>
                          <w:top w:w="0" w:type="dxa"/>
                          <w:left w:w="0" w:type="dxa"/>
                          <w:bottom w:w="0" w:type="dxa"/>
                          <w:right w:w="0" w:type="dxa"/>
                        </w:tcMar>
                        <w:vAlign w:val="center"/>
                      </w:tcPr>
                      <w:p>
                        <w:pPr>
                          <w:ind/>
                          <w:jc w:val="center"/>
                        </w:pPr>
                        <w:r>
                          <w:rPr>
                            <w:rFonts w:ascii="宋体" w:hAnsi="宋体" w:eastAsia="宋体" w:cs="宋体"/>
                            <w:color w:val="000000"/>
                            <w:sz w:val="21"/>
                            <w:b w:val="true"/>
                          </w:rPr>
                          <w:t xml:space="preserve">账户名称</w:t>
                        </w:r>
                      </w:p>
                    </w:tc>
                  </w:tr>
                </w:tbl>
                <w:p>
                  <w:pPr>
                    <w:pStyle w:val="EMPTY_CELL_STYLE"/>
                  </w:pPr>
                </w:p>
              </w:tc>
            </w:tr>
            <w:tr>
              <w:trPr>
                <w:trHeight w:hRule="exact" w:val="600"/>
              </w:trPr>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1000"/>
                    <w:gridCol w:w="1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1</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2200"/>
                    <w:gridCol w:w="22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托管账户</w:t>
                        </w:r>
                      </w:p>
                    </w:tc>
                  </w:tr>
                </w:tbl>
                <w:p>
                  <w:pPr>
                    <w:pStyle w:val="EMPTY_CELL_STYLE"/>
                  </w:pPr>
                </w:p>
              </w:tc>
              <w:tc>
                <w:tcPr>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3000"/>
                    <w:gridCol w:w="30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051010100101231921</w:t>
                        </w:r>
                      </w:p>
                    </w:tc>
                  </w:tr>
                </w:tbl>
                <w:p>
                  <w:pPr>
                    <w:pStyle w:val="EMPTY_CELL_STYLE"/>
                  </w:pPr>
                </w:p>
              </w:tc>
              <w:tc>
                <w:tcPr>
                  <w:shd w:val="clear" w:color="auto" w:fill="FFFFFF"/>
                  <w:tcBorders>
                    <w:top w:val="single" w:sz="4" w:space="0" w:color="000000"/>
                    <w:left w:val="single" w:sz="4" w:space="0" w:color="000000"/>
                    <w:bottom w:val="single" w:sz="4" w:space="0" w:color="000000"/>
                    <w:right w:val="single" w:sz="4" w:space="0" w:color="000000"/>
                  </w:tcBorders>
                  <w:tcMar>
                    <w:top w:w="0" w:type="dxa"/>
                    <w:left w:w="0" w:type="dxa"/>
                    <w:bottom w:w="0" w:type="dxa"/>
                    <w:right w:w="0" w:type="dxa"/>
                  </w:tcMar>
                </w:tcPr>
                <w:tbl>
                  <w:tblPr>
                    <w:tblLayout w:type="fixed"/>
                  </w:tblPr>
                  <w:tblGrid>
                    <w:gridCol w:w="4500"/>
                    <w:gridCol w:w="4500"/>
                  </w:tblGrid>
                  <w:tr>
                    <w:trPr>
                      <w:trHeight w:hRule="atLeast" w:val="600"/>
                    </w:trPr>
                    <w:tc>
                      <w:tcPr>
                        <w:tcMar>
                          <w:top w:w="0" w:type="dxa"/>
                          <w:left w:w="0" w:type="dxa"/>
                          <w:bottom w:w="0" w:type="dxa"/>
                          <w:right w:w="0" w:type="dxa"/>
                        </w:tcMar>
                        <w:vAlign w:val="center"/>
                      </w:tcPr>
                      <w:p>
                        <w:pPr>
                          <w:ind/>
                          <w:jc w:val="center"/>
                        </w:pPr>
                        <w:r>
                          <w:rPr>
                            <w:rFonts w:ascii="宋体" w:hAnsi="宋体" w:eastAsia="宋体" w:cs="宋体"/>
                            <w:color w:val="000000"/>
                            <w:sz w:val="21"/>
                          </w:rPr>
                          <w:t xml:space="preserve">兴银理财金雪球稳利年年兴B款净值型理财产品</w:t>
                        </w:r>
                      </w:p>
                    </w:tc>
                  </w:tr>
                </w:tbl>
                <w:p>
                  <w:pPr>
                    <w:pStyle w:val="EMPTY_CELL_STYLE"/>
                  </w:pPr>
                </w:p>
              </w:tc>
            </w:tr>
          </w:tbl>
          <w:p>
            <w:pPr>
              <w:pStyle w:val="EMPTY_CELL_STYLE"/>
            </w:pPr>
          </w:p>
        </w:tc>
        <w:tc>
          <w:tcPr>
     </w:tcPr>
          <w:p>
            <w:pPr>
              <w:pStyle w:val="EMPTY_CELL_STYLE"/>
            </w:pPr>
          </w:p>
        </w:tc>
      </w:tr>
      <w:tr>
        <w:trPr>
          <w:trHeight w:hRule="exact" w:val="96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center"/>
          </w:tcPr>
          <w:p>
            <w:pPr>
              <w:ind/>
              <w:jc w:val="right"/>
            </w:pPr>
            <w:r>
              <w:rPr>
                <w:rFonts w:ascii="宋体" w:hAnsi="宋体" w:eastAsia="宋体" w:cs="宋体"/>
                <w:color w:val="000000"/>
                <w:sz w:val="21"/>
              </w:rPr>
              <w:t xml:space="preserve">兴银理财有限责任公司</w:t>
            </w:r>
          </w:p>
        </w:tc>
        <w:tc>
          <w:tcPr>
     </w:tcPr>
          <w:p>
            <w:pPr>
              <w:pStyle w:val="EMPTY_CELL_STYLE"/>
            </w:pPr>
          </w:p>
        </w:tc>
        <w:tc>
          <w:tcPr>
     </w:tcPr>
          <w:p>
            <w:pPr>
              <w:pStyle w:val="EMPTY_CELL_STYLE"/>
            </w:pPr>
          </w:p>
        </w:tc>
      </w:tr>
      <w:tr>
        <w:trPr>
          <w:trHeight w:hRule="atLeast" w:val="400"/>
        </w:trPr>
        <w:tc>
          <w:tcPr>
     </w:tcPr>
          <w:p>
            <w:pPr>
              <w:pStyle w:val="EMPTY_CELL_STYLE"/>
            </w:pPr>
          </w:p>
        </w:tc>
        <w:tc>
          <w:tcPr>
            <w:gridSpan w:val="5"/>
            <w:tcMar>
              <w:top w:w="0" w:type="dxa"/>
              <w:left w:w="0" w:type="dxa"/>
              <w:bottom w:w="0" w:type="dxa"/>
              <w:right w:w="0" w:type="dxa"/>
            </w:tcMar>
            <w:vAlign w:val="top"/>
          </w:tcPr>
          <w:p>
            <w:pPr>
              <w:ind/>
              <w:jc w:val="right"/>
            </w:pPr>
            <w:r>
              <w:rPr>
                <w:rFonts w:ascii="宋体" w:hAnsi="宋体" w:eastAsia="宋体" w:cs="宋体"/>
                <w:color w:val="000000"/>
                <w:sz w:val="21"/>
              </w:rPr>
              <w:t xml:space="preserve">2023年7月21日</w:t>
            </w:r>
          </w:p>
        </w:tc>
        <w:tc>
          <w:tcPr>
     </w:tcPr>
          <w:p>
            <w:pPr>
              <w:pStyle w:val="EMPTY_CELL_STYLE"/>
            </w:pPr>
          </w:p>
        </w:tc>
        <w:tc>
          <w:tcPr>
     </w:tcPr>
          <w:p>
            <w:pPr>
              <w:pStyle w:val="EMPTY_CELL_STYLE"/>
            </w:pPr>
          </w:p>
        </w:tc>
      </w:tr>
      <w:tr>
        <w:trPr>
          <w:trHeight w:hRule="exact" w:val="10080"/>
        </w:trPr>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c>
          <w:tcPr>
     </w:tcPr>
          <w:p>
            <w:pPr>
              <w:pStyle w:val="EMPTY_CELL_STYLE"/>
            </w:pPr>
          </w:p>
        </w:tc>
      </w:tr>
      <w:tr>
        <w:trPr>
          <w:trHeight w:hRule="atLeast" w:val="400"/>
        </w:trPr>
        <w:tc>
          <w:tcPr>
     </w:tcPr>
          <w:p>
            <w:pPr>
              <w:pStyle w:val="EMPTY_CELL_STYLE"/>
            </w:pPr>
          </w:p>
        </w:tc>
        <w:tc>
          <w:tcPr>
     </w:tcPr>
          <w:p>
            <w:pPr>
              <w:pStyle w:val="EMPTY_CELL_STYLE"/>
            </w:pPr>
          </w:p>
        </w:tc>
        <w:tc>
          <w:tcPr>
     </w:tcPr>
          <w:p>
            <w:pPr>
              <w:pStyle w:val="EMPTY_CELL_STYLE"/>
            </w:pPr>
          </w:p>
        </w:tc>
        <w:tc>
          <w:tcPr>
            <w:tcMar>
              <w:top w:w="0" w:type="dxa"/>
              <w:left w:w="0" w:type="dxa"/>
              <w:bottom w:w="0" w:type="dxa"/>
              <w:right w:w="0" w:type="dxa"/>
            </w:tcMar>
            <w:vAlign w:val="top"/>
          </w:tcPr>
          <w:p>
            <w:pPr>
              <w:ind/>
              <w:jc w:val="right"/>
            </w:pPr>
            <w:r>
              <w:rPr>
                <w:rFonts w:ascii="SansSerif" w:hAnsi="SansSerif" w:eastAsia="SansSerif" w:cs="SansSerif"/>
                <w:color w:val="000000"/>
                <w:sz w:val="18"/>
              </w:rPr>
              <w:t xml:space="preserve">7/</w:t>
            </w:r>
          </w:p>
        </w:tc>
        <w:tc>
          <w:tcPr>
            <w:tcMar>
              <w:top w:w="0" w:type="dxa"/>
              <w:left w:w="0" w:type="dxa"/>
              <w:bottom w:w="0" w:type="dxa"/>
              <w:right w:w="0" w:type="dxa"/>
            </w:tcMar>
            <w:vAlign w:val="top"/>
          </w:tcPr>
          <w:p>
            <w:pPr>
              <w:ind/>
              <w:jc w:val="left"/>
            </w:pPr>
            <w:r>
              <w:rPr>
                <w:rFonts w:ascii="SansSerif" w:hAnsi="SansSerif" w:eastAsia="SansSerif" w:cs="SansSerif"/>
                <w:color w:val="000000"/>
                <w:sz w:val="18"/>
              </w:rPr>
              <w:t xml:space="preserve">7</w:t>
            </w:r>
          </w:p>
        </w:tc>
        <w:tc>
          <w:tcPr>
     </w:tcPr>
          <w:p>
            <w:pPr>
              <w:pStyle w:val="EMPTY_CELL_STYLE"/>
            </w:pPr>
          </w:p>
        </w:tc>
        <w:tc>
          <w:tcPr>
     </w:tcPr>
          <w:p>
            <w:pPr>
              <w:pStyle w:val="EMPTY_CELL_STYLE"/>
            </w:pPr>
          </w:p>
        </w:tc>
        <w:tc>
          <w:tcPr>
     </w:tcPr>
          <w:p>
            <w:pPr>
              <w:pStyle w:val="EMPTY_CELL_STYLE"/>
            </w:pPr>
          </w:p>
        </w:tc>
      </w:tr>
    </w:tbl>
    <w:sectPr>
      <w:pgSz w:w="11900" w:h="16840" w:orient="portrait"/>
      <w:pgMar w:top="600" w:right="560" w:bottom="240" w:left="600" w:header="0" w:footer="0" w:gutter="0"/>
      <w:docGrid w:linePitch="360"/>
    </w:sectPr>
  </w:body>
</w:document>
</file>

<file path=word/settings.xml><?xml version="1.0" encoding="utf-8"?>
<w:settings xmlns:w="http://schemas.openxmlformats.org/wordprocessingml/2006/main">
  <w:defaultTabStop w:val="800"/>
</w:settings>
</file>

<file path=word/styles.xml><?xml version="1.0" encoding="utf-8"?>
<w:styles xmlns:r="http://schemas.openxmlformats.org/officeDocument/2006/relationships" xmlns:w="http://schemas.openxmlformats.org/wordprocessingml/2006/main">
  <w:docDefaults>
    <w:rPrDefault>
  </w:rPrDefault>
    <w:pPrDefault>
      <w:pPr>
        <w:spacing w:line="240"/>
      </w:pPr>
    </w:pPrDefault>
  </w:docDefaults>
  <w:style w:type="paragraph" w:styleId="EMPTY_CELL_STYLE">
    <w:name w:val="EMPTY_CELL_STYLE"/>
    <w:qFormat/>
    <w:pPr>
      <w:ind/>
    </w:pPr>
    <w:rPr>
      <w:rFonts w:ascii="SansSerif" w:hAnsi="SansSerif" w:eastAsia="SansSerif" w:cs="SansSerif"/>
      <w:color w:val="000000"/>
      <w:sz w:val="1"/>
    </w:rPr>
  </w:style>
  <w:style w:type="paragraph" w:styleId="Table_TH">
    <w:name w:val="Table_TH"/>
    <w:qFormat/>
    <w:pPr>
      <w:ind/>
    </w:pPr>
    <w:rPr>
      <w:rFonts w:ascii="SansSerif" w:hAnsi="SansSerif" w:eastAsia="SansSerif" w:cs="SansSerif"/>
      <w:color w:val="000000"/>
      <w:sz w:val="20"/>
    </w:rPr>
  </w:style>
  <w:style w:type="paragraph" w:styleId="Table_CH">
    <w:name w:val="Table_CH"/>
    <w:qFormat/>
    <w:pPr>
      <w:ind/>
    </w:pPr>
    <w:rPr>
      <w:rFonts w:ascii="SansSerif" w:hAnsi="SansSerif" w:eastAsia="SansSerif" w:cs="SansSerif"/>
      <w:color w:val="000000"/>
      <w:sz w:val="20"/>
    </w:rPr>
  </w:style>
  <w:style w:type="paragraph" w:styleId="Table_TD">
    <w:name w:val="Table_TD"/>
    <w:qFormat/>
    <w:pPr>
      <w:ind/>
    </w:pPr>
    <w:rPr>
      <w:rFonts w:ascii="SansSerif" w:hAnsi="SansSerif" w:eastAsia="SansSerif" w:cs="SansSerif"/>
      <w:color w:val="000000"/>
      <w:sz w:val="20"/>
    </w:rPr>
  </w:style>
  <w:style w:type="paragraph" w:styleId="Table_CD">
    <w:name w:val="Table_CD"/>
    <w:qFormat/>
    <w:pPr>
      <w:ind/>
    </w:pPr>
    <w:rPr>
      <w:rFonts w:ascii="SansSerif" w:hAnsi="SansSerif" w:eastAsia="SansSerif" w:cs="SansSerif"/>
      <w:color w:val="000000"/>
      <w:sz w:val="20"/>
    </w:rPr>
  </w:style>
  <w:style w:type="paragraph" w:styleId="Table 3_TH">
    <w:name w:val="Table 3_TH"/>
    <w:qFormat/>
    <w:pPr>
      <w:ind/>
    </w:pPr>
    <w:rPr>
      <w:rFonts w:ascii="SansSerif" w:hAnsi="SansSerif" w:eastAsia="SansSerif" w:cs="SansSerif"/>
      <w:color w:val="000000"/>
      <w:sz w:val="20"/>
    </w:rPr>
  </w:style>
  <w:style w:type="paragraph" w:styleId="Table 3_CH">
    <w:name w:val="Table 3_CH"/>
    <w:qFormat/>
    <w:pPr>
      <w:ind/>
    </w:pPr>
    <w:rPr>
      <w:rFonts w:ascii="SansSerif" w:hAnsi="SansSerif" w:eastAsia="SansSerif" w:cs="SansSerif"/>
      <w:color w:val="000000"/>
      <w:sz w:val="20"/>
    </w:rPr>
  </w:style>
  <w:style w:type="paragraph" w:styleId="Table 3_TD">
    <w:name w:val="Table 3_TD"/>
    <w:qFormat/>
    <w:pPr>
      <w:ind/>
    </w:pPr>
    <w:rPr>
      <w:rFonts w:ascii="SansSerif" w:hAnsi="SansSerif" w:eastAsia="SansSerif" w:cs="SansSerif"/>
      <w:color w:val="000000"/>
      <w:sz w:val="20"/>
    </w:rPr>
  </w:style>
  <w:style w:type="paragraph" w:styleId="Table 4_TH">
    <w:name w:val="Table 4_TH"/>
    <w:qFormat/>
    <w:pPr>
      <w:ind/>
    </w:pPr>
    <w:rPr>
      <w:rFonts w:ascii="SansSerif" w:hAnsi="SansSerif" w:eastAsia="SansSerif" w:cs="SansSerif"/>
      <w:color w:val="000000"/>
      <w:sz w:val="20"/>
    </w:rPr>
  </w:style>
  <w:style w:type="paragraph" w:styleId="Table 4_CH">
    <w:name w:val="Table 4_CH"/>
    <w:qFormat/>
    <w:pPr>
      <w:ind/>
    </w:pPr>
    <w:rPr>
      <w:rFonts w:ascii="SansSerif" w:hAnsi="SansSerif" w:eastAsia="SansSerif" w:cs="SansSerif"/>
      <w:color w:val="000000"/>
      <w:sz w:val="20"/>
    </w:rPr>
  </w:style>
  <w:style w:type="paragraph" w:styleId="Table 4_TD">
    <w:name w:val="Table 4_TD"/>
    <w:qFormat/>
    <w:pPr>
      <w:ind/>
    </w:pPr>
    <w:rPr>
      <w:rFonts w:ascii="SansSerif" w:hAnsi="SansSerif" w:eastAsia="SansSerif" w:cs="SansSerif"/>
      <w:color w:val="000000"/>
      <w:sz w:val="20"/>
    </w:rPr>
  </w:style>
  <w:style w:type="paragraph" w:styleId="Table 1_TH">
    <w:name w:val="Table 1_TH"/>
    <w:qFormat/>
    <w:pPr>
      <w:ind/>
    </w:pPr>
    <w:rPr>
      <w:rFonts w:ascii="SansSerif" w:hAnsi="SansSerif" w:eastAsia="SansSerif" w:cs="SansSerif"/>
      <w:color w:val="000000"/>
      <w:sz w:val="20"/>
    </w:rPr>
  </w:style>
  <w:style w:type="paragraph" w:styleId="Table 1_CH">
    <w:name w:val="Table 1_CH"/>
    <w:qFormat/>
    <w:pPr>
      <w:ind/>
    </w:pPr>
    <w:rPr>
      <w:rFonts w:ascii="SansSerif" w:hAnsi="SansSerif" w:eastAsia="SansSerif" w:cs="SansSerif"/>
      <w:color w:val="000000"/>
      <w:sz w:val="20"/>
    </w:rPr>
  </w:style>
  <w:style w:type="paragraph" w:styleId="Table 1_TD">
    <w:name w:val="Table 1_TD"/>
    <w:qFormat/>
    <w:pPr>
      <w:ind/>
    </w:pPr>
    <w:rPr>
      <w:rFonts w:ascii="SansSerif" w:hAnsi="SansSerif" w:eastAsia="SansSerif" w:cs="SansSerif"/>
      <w:color w:val="000000"/>
      <w:sz w:val="20"/>
    </w:rPr>
  </w:style>
  <w:style w:type="paragraph" w:styleId="Table 2_TH">
    <w:name w:val="Table 2_TH"/>
    <w:qFormat/>
    <w:pPr>
      <w:ind/>
    </w:pPr>
    <w:rPr>
      <w:rFonts w:ascii="SansSerif" w:hAnsi="SansSerif" w:eastAsia="SansSerif" w:cs="SansSerif"/>
      <w:color w:val="000000"/>
      <w:sz w:val="20"/>
    </w:rPr>
  </w:style>
  <w:style w:type="paragraph" w:styleId="Table 2_CH">
    <w:name w:val="Table 2_CH"/>
    <w:qFormat/>
    <w:pPr>
      <w:ind/>
    </w:pPr>
    <w:rPr>
      <w:rFonts w:ascii="SansSerif" w:hAnsi="SansSerif" w:eastAsia="SansSerif" w:cs="SansSerif"/>
      <w:color w:val="000000"/>
      <w:sz w:val="20"/>
    </w:rPr>
  </w:style>
  <w:style w:type="paragraph" w:styleId="Table 2_TD">
    <w:name w:val="Table 2_TD"/>
    <w:qFormat/>
    <w:pPr>
      <w:ind/>
    </w:pPr>
    <w:rPr>
      <w:rFonts w:ascii="SansSerif" w:hAnsi="SansSerif" w:eastAsia="SansSerif" w:cs="SansSerif"/>
      <w:color w:val="000000"/>
      <w:sz w:val="20"/>
    </w:rPr>
  </w:style>
  <w:style w:type="paragraph" w:styleId="Table 5_TH">
    <w:name w:val="Table 5_TH"/>
    <w:qFormat/>
    <w:pPr>
      <w:ind/>
    </w:pPr>
    <w:rPr>
      <w:rFonts w:ascii="SansSerif" w:hAnsi="SansSerif" w:eastAsia="SansSerif" w:cs="SansSerif"/>
      <w:color w:val="000000"/>
      <w:sz w:val="20"/>
    </w:rPr>
  </w:style>
  <w:style w:type="paragraph" w:styleId="Table 5_CH">
    <w:name w:val="Table 5_CH"/>
    <w:qFormat/>
    <w:pPr>
      <w:ind/>
    </w:pPr>
    <w:rPr>
      <w:rFonts w:ascii="SansSerif" w:hAnsi="SansSerif" w:eastAsia="SansSerif" w:cs="SansSerif"/>
      <w:color w:val="000000"/>
      <w:sz w:val="20"/>
    </w:rPr>
  </w:style>
  <w:style w:type="paragraph" w:styleId="Table 5_TD">
    <w:name w:val="Table 5_TD"/>
    <w:qFormat/>
    <w:pPr>
      <w:ind/>
    </w:pPr>
    <w:rPr>
      <w:rFonts w:ascii="SansSerif" w:hAnsi="SansSerif" w:eastAsia="SansSerif" w:cs="SansSerif"/>
      <w:color w:val="000000"/>
      <w:sz w:val="20"/>
    </w:rPr>
  </w:style>
  <w:style w:type="paragraph" w:styleId="Table 6_TH">
    <w:name w:val="Table 6_TH"/>
    <w:qFormat/>
    <w:pPr>
      <w:ind/>
    </w:pPr>
    <w:rPr>
      <w:rFonts w:ascii="SansSerif" w:hAnsi="SansSerif" w:eastAsia="SansSerif" w:cs="SansSerif"/>
      <w:color w:val="000000"/>
      <w:sz w:val="20"/>
    </w:rPr>
  </w:style>
  <w:style w:type="paragraph" w:styleId="Table 6_CH">
    <w:name w:val="Table 6_CH"/>
    <w:qFormat/>
    <w:pPr>
      <w:ind/>
    </w:pPr>
    <w:rPr>
      <w:rFonts w:ascii="SansSerif" w:hAnsi="SansSerif" w:eastAsia="SansSerif" w:cs="SansSerif"/>
      <w:color w:val="000000"/>
      <w:sz w:val="20"/>
    </w:rPr>
  </w:style>
  <w:style w:type="paragraph" w:styleId="Table 6_TD">
    <w:name w:val="Table 6_TD"/>
    <w:qFormat/>
    <w:pPr>
      <w:ind/>
    </w:pPr>
    <w:rPr>
      <w:rFonts w:ascii="SansSerif" w:hAnsi="SansSerif" w:eastAsia="SansSerif" w:cs="SansSerif"/>
      <w:color w:val="000000"/>
      <w:sz w:val="20"/>
    </w:rPr>
  </w:style>
</w:styles>
</file>

<file path=word/_rels/document.xml.rels><?xml version="1.0" encoding="UTF-8"?>
<Relationships xmlns="http://schemas.openxmlformats.org/package/2006/relationships">
 <Relationship Id="rId1" Type="http://schemas.openxmlformats.org/officeDocument/2006/relationships/styles" Target="styles.xml"/>
 <Relationship Id="rId2" Type="http://schemas.openxmlformats.org/officeDocument/2006/relationships/settings" Target="settings.xml"/>
</Relationships>

</file>

<file path=docProps/app.xml><?xml version="1.0" encoding="utf-8"?>
<Properties xmlns="http://schemas.openxmlformats.org/officeDocument/2006/extended-properties">
  <Application>JasperReports Library version 6.6.0</Application>
</Properties>
</file>

<file path=docProps/core.xml><?xml version="1.0" encoding="utf-8"?>
<coreProperties xmlns="http://schemas.openxmlformats.org/package/2006/metadata/core-properties" xmlns:cp="http://schemas.openxmlformats.org/package/2006/metadata/core-properties" xmlns:dc="http://purl.org/dc/elements/1.1/" xmlns:dcterms="http://purl.org/dc/terms/" xmlns:xsi="http://www.w3.org/2001/XMLSchema-instance">
</coreProperties>
</file>