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兴银理财稳利丰收封闭式4期固收类理财产品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兴银理财稳利丰收封闭式4期固收类理财产品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1,836,000份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9C31004A：3.10%--4.00%/--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稳利丰收封闭式4期A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1,836,000.00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产品9C31004A自成立日以来，累计净值增长率为3.6030%，年化累计净值增长率为6.8853%。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1,902,151.10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1,902,151.10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76,313.56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76,034.71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75,989.49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60,719.25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60,435.88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59,766.65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59,736.50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46,262.93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兴银理财稳利丰收封闭式4期固收类理财产品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兴银理财稳利丰收封闭式4期固收类理财产品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