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兴银理财兴承恒享2号开放式净值型理财产品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兴银理财兴承恒享2号开放式净值型理财产品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3,185,833,256.16份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9D21002A：--/6.00%</w:t>
              <w:br/>
              <w:t xml:space="preserve">  9D21002B：--/6.00%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兴银兴承恒享2号开放式A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1,310,097,950.83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兴银兴承恒享2号开放式B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1,875,735,305.33</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产品9D21002A自成立日以来，累计净值增长率为-2.6790%，年化累计净值增长率为-1.3413%。</w:t>
              <w:br/>
              <w:t xml:space="preserve">产品9D21002B自成立日以来，累计净值增长率为-2.3050%，年化累计净值增长率为-1.1541%。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3,107,504,497.57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1,275,000,192.94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0.97695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1,832,504,304.63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张浩立先生,同济大学工学学士、同济大学工学硕士、纽约大学金融硕士，2020年加入兴银理财，FOF投研经验7年。曾任平安资产管理有限公司FOF投资经理。2020年10月开始管理平衡型产品。</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1、2023年初，有较高的权益仓位，整体获得了权益市场对经济复苏演绎的涨幅。</w:t>
              <w:br/>
              <w:t xml:space="preserve">    2、目前看，国内经济复苏自下而上看，比较弱。但是自上而下看，对政策也不值得期待。因此消费复苏端，整体不再做太多期待。海外流动性，美国cpi、ppi开始低于预期，美国宏观政策上的拐点在接近。</w:t>
              <w:br/>
              <w:t xml:space="preserve">    3、结构上，目前更加关注周期底部反转的机会，以及国家科技成长产业升级方面的变化。目前组合偏配TMT。关注半导体周期的机会，以及AI等各种衍生的投资机会。对猪周期有一定的配置。还有少量底部的消费医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120,058,333.30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79,845,333.17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76,788,857.02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73,243,627.40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融通成长30（002252.OF）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51,520,535.74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兴银理财兴承恒享2号开放式净值型理财产品2023年第二季度报告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50,555,984.92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50,494,508.28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50,463,661.29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国联安短债债券型证券投资基金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50,377,689.83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50,037,865.52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兴银理财兴承恒享2号开放式净值型理财产品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兴银理财兴承恒享2号开放式净值型理财产品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051010100101225526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兴银理财兴承恒享2号开放式净值型理财产品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