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兴银理财兴承恒享4号开放式净值型理财产品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兴银理财兴承恒享4号开放式净值型理财产品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1,531,167,651.95份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9D21004A：--/6.00%</w:t>
              <w:br/>
              <w:t xml:space="preserve">  9D21004B：--/6.00%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622,333,947.17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908,833,704.78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产品9D21004A自成立日以来，累计净值增长率为-1.8600%，年化累计净值增长率为-1.0624%。</w:t>
              <w:br/>
              <w:t xml:space="preserve">产品9D21004B自成立日以来，累计净值增长率为-1.5030%，年化累计净值增长率为-0.8585%。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1,505,931,374.81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610,758,057.48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895,173,317.33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投资经理谢若嫣，清华大学经济管理学院硕士，曾任保险资管基金研究员，2020年加入兴银理财，任权益投资部投资经理。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国内经济放缓幅度超预期、市场担忧地方债务风险，而政策布局重点更关注高质量发展、中长期转型，因而投资者对国内中长期经济增长的悲观预期集中在短期释放；海外方面，由于美国经济数据较强，市场对美联储结束加息的预期再度后移，人民币汇率大跌，外资流出造成一定负面影响。因此，A股市场二季度整体表现不佳。价值风格受益于防御属性表现优于成长风格，大盘跌幅略大于小盘。结构上，受益于人工智能产业突破，AI主题相关的TMT板块以及机器人相关的机械、汽车、家电行业整体表现靠前；其余方向，尤其顺周期相关的大消费、地产链、资源品等板块均出现明显下跌。</w:t>
              <w:br/>
              <w:t xml:space="preserve">    本季度操作上，随着市场的进一步下跌，悲观情绪基本都已宣泄，权益市场性价比凸显，进一步增加权益仓位，看好权益市场三季度的表现；结构上择机减持AI炒作较高的品种，加仓跌幅较大、但价格基本反应悲观预期的新能源车、医药、消费、科创等方向。</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56,750,958.00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52,316,876.71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43,905,181.11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33,005,309.91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华泰柏瑞富利（004475.OF）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30,969,899.02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30,277,293.06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30,212,066.24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26,086,258.20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华夏上证科创板50ETF（588000.SH）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24,252,808.00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安信稳健增值C ( 001338.OF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20,592,591.73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兴银理财兴承恒享4号开放式净值型理财产品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兴银理财兴承恒享4号开放式净值型理财产品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兴银理财兴承恒享4号开放式净值型理财产品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