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兴银理财兴承恒享新盈1号净值型理财产品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兴银理财兴承恒享新盈1号净值型理财产品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9D310010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500,915,464.6份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9D31001A：4.00%/4.00%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新盈1号A（兴飞跃私行专属款）</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9D31001A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500,915,464.60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产品9D31001A自成立日以来，累计净值增长率为5.8320%，年化累计净值增长率为3.4445%。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509,369,038.60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9D31001A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509,369,038.60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95%固收+5%衍生品套利策略。产品目前久期1.1年，杠杆120%。二季度产品运行较为稳健，目前随着债券价格的反弹，产品收益也逐步稳定。同时，产品中加入少量股债风险平价和转债策略，截止6月底也取得了预期内的收益。展望后市，目前市场仍然处于复苏的初期。利率反映了短期内经济回暖节奏偏慢。产品配置角度上，债券以1.5年高收益信用债为主，兼顾收益和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20,711,962.74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21广发13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20,641,248.77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22泉州水务SCP001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20,276,445.75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21灵山GN001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17,227,413.74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22浙商集团ABN001优先</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16,794,742.19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21漳州交运PPN003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15,349,688.99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14,341,940.45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20宜管廊</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10,770,007.81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23漳龙01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10,645,945.34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21润城资产PPN004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10,560,273.56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21福清国资MTN001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21漳州交运PPN003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22滁州城投CP001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22江北新区PPN001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22泉州水务SCP001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兴银理财兴承恒享新盈1号净值型理财产品2023年第二季度报告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051010100101268372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兴银理财兴承恒享新盈1号净值型理财产品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7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