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兴银理财兴承恒享新盈3号净值型理财产品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104,089,030.68份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9D31003A：3.70%/3.70%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新盈私享3号（兴飞跃款）A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104,089,030.68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产品9D31003A自成立日以来，累计净值增长率为3.8500%，年化累计净值增长率为2.9460%。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105,550,124.32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105,550,124.32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1.3年，杠杆130%。二季度产品运行较为稳健，目前随着债券价格的反弹，产品收益也逐步稳定。同时，产品中加入少量股债风险平价和转债策略，截止6月底也取得了预期内的收益。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5,166,209.59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4,249,463.84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21十堰国投PPN003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4,160,069.92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4,138,839.01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4,134,731.56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4,057,342.52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4,016,286.66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22远东租赁MTN003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3,984,686.21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3,603,515.95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3,476,223.85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