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兴银理财兴承恒享新盈4号净值型理财产品2023年第二季度报告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兴银理财兴承恒享新盈4号净值型理财产品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兴银理财兴承恒享新盈4号净值型理财产品2023年第二季度报告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兴银理财兴承恒享新盈4号净值型理财产品2023年第二季度报告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兴银理财兴承恒享新盈4号净值型理财产品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9D310040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Z7002021000258</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69,748,751.76份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9D31004A：3.50%--5.50%/5.50%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兴银兴承恒享新盈4号A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9D31004A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69,748,751.76</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兴银理财兴承恒享新盈4号净值型理财产品2023年第二季度报告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产品9D31004A自成立日以来，累计净值增长率为2.1260%，年化累计净值增长率为2.4024%。</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71,231,718.43</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71,231,718.43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为95%固收+5%衍生品套利策略。产品目前久期1.3年，杠杆130%。二季度产品运行较为稳健，目前随着债券价格的反弹，产品收益也逐步稳定。同时，产品中加入少量股债风险平价和转债策略，截止6月底也取得了预期内的收益。展望后市，目前市场仍然处于复苏的初期。利率反映了短期内经济回暖节奏偏慢。产品配置角度上，产品目前面临打开，主要兼顾流动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兴银理财兴承恒享新盈4号净值型理财产品2023年第二季度报告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22广铁01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5,111,138.77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22紫金矿业MTN004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5,091,163.90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4,138,839.01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22长城02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4,107,466.47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20路桥02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4,106,898.63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5.77</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兴银理财兴承恒享新盈4号净值型理财产品2023年第二季度报告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22长江03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4,077,146.68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22湘路08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4,073,693.59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20华为MTN002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3,051,215.92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22青岛西海SCP003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3,048,715.68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20云投MTN006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2,586,860.79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21浦口康居MTN001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22青岛西海SCP003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22紫金矿业MTN004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兴银理财兴承恒享新盈4号净值型理财产品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兴银理财兴承恒享新盈4号净值型理财产品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兴银理财兴承恒享新盈4号净值型理财产品2023年第二季度报告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051010100101308517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兴银理财兴承恒享新盈4号净值型理财产品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