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兴业银行兴睿优选进取混合类净值型理财产品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兴业银行兴睿优选进取混合类净值型理财产品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9H910001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Z7002020000046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371,379,120.40份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沪深300指数收益率×70%+人民银行一年期定期存款利率×30%/--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产品9H910001自成立日以来，累计净值增长率为25.9600%，年化累计净值增长率为7.7540%。</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1.05960</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1.25960</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393,515,123.55</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董国明先生，中国科学院研究生院理学硕士，2013年加入兴业银行，金融从业13年，曾在光大银行等机构任投资经理，现任兴银理财权益投资部副总经理。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1、判断：宏观经济偏弱复苏，政策偏稳增长，系统性风险概率较低。风险偏好较低，股市偏存量博弈，大概率结构性行情，且多数板块行情持续性不能给太高预期。2、应对：风险偏好或政策预期没有大幅变化前，仓位和结构都会波段操作，整体组合分为底仓和交易性仓位，交易性仓位增加止盈止损操作频率，交易逻辑综合考虑政策预期、景气度和资金筹码，在主线到来之前，通过积累小胜不断积累产品净值。</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9"/>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84.78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工商银行活期存款（南京）</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44,025,349.99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前海开源沪港深裕鑫灵活配置混合型证券投资基金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25,138,831.37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财通资管健康产业混合型证券投资基金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20,097,751.29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建信医疗健康行业股票型证券投资基金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18,036,537.47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中欧红利优享灵活配置混合型证券投资基金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17,195,141.55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汇丰晋信价值先锋股票型证券投资基金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16,349,642.25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中信建投价值甄选混合型证券投资基金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16,294,044.96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招商优势企业灵活配置混合型证券投资基金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15,278,036.70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宝盈品质甄选混合型证券投资基金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14,151,990.00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大成睿享混合型证券投资基金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14,139,393.04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3.59</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兴业银行兴睿优选进取混合类净值型理财产品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051010100100983717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兴睿优选进取混合类净值型理财产品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